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华文中宋" w:eastAsia="黑体"/>
          <w:b/>
          <w:color w:val="FF0000"/>
          <w:spacing w:val="-40"/>
          <w:sz w:val="84"/>
          <w:szCs w:val="84"/>
        </w:rPr>
      </w:pPr>
      <w:r>
        <w:rPr>
          <w:rFonts w:hint="eastAsia" w:ascii="黑体" w:hAnsi="华文中宋" w:eastAsia="黑体"/>
          <w:b/>
          <w:color w:val="FF0000"/>
          <w:spacing w:val="-40"/>
          <w:sz w:val="84"/>
          <w:szCs w:val="84"/>
        </w:rPr>
        <w:t>东莞市高新技术产业协会</w:t>
      </w:r>
    </w:p>
    <w:p>
      <w:pPr>
        <w:tabs>
          <w:tab w:val="left" w:pos="5040"/>
        </w:tabs>
        <w:rPr>
          <w:rFonts w:hint="eastAsia" w:ascii="宋体" w:hAnsi="宋体"/>
          <w:color w:val="FF0000"/>
          <w:sz w:val="18"/>
          <w:szCs w:val="18"/>
          <w:u w:val="thick"/>
        </w:rPr>
      </w:pPr>
      <w:r>
        <w:rPr>
          <w:rFonts w:hint="eastAsia" w:ascii="宋体" w:hAnsi="宋体"/>
          <w:color w:val="FF0000"/>
          <w:sz w:val="18"/>
          <w:szCs w:val="18"/>
          <w:u w:val="thick"/>
        </w:rPr>
        <w:t xml:space="preserve">                                                                                                                 </w:t>
      </w:r>
    </w:p>
    <w:tbl>
      <w:tblPr>
        <w:tblStyle w:val="5"/>
        <w:tblW w:w="8936" w:type="dxa"/>
        <w:jc w:val="center"/>
        <w:tblInd w:w="0" w:type="dxa"/>
        <w:tblLayout w:type="fixed"/>
        <w:tblCellMar>
          <w:top w:w="0" w:type="dxa"/>
          <w:left w:w="108" w:type="dxa"/>
          <w:bottom w:w="0" w:type="dxa"/>
          <w:right w:w="108" w:type="dxa"/>
        </w:tblCellMar>
      </w:tblPr>
      <w:tblGrid>
        <w:gridCol w:w="3893"/>
        <w:gridCol w:w="5043"/>
      </w:tblGrid>
      <w:tr>
        <w:tblPrEx>
          <w:tblLayout w:type="fixed"/>
          <w:tblCellMar>
            <w:top w:w="0" w:type="dxa"/>
            <w:left w:w="108" w:type="dxa"/>
            <w:bottom w:w="0" w:type="dxa"/>
            <w:right w:w="108" w:type="dxa"/>
          </w:tblCellMar>
        </w:tblPrEx>
        <w:trPr>
          <w:jc w:val="center"/>
        </w:trPr>
        <w:tc>
          <w:tcPr>
            <w:tcW w:w="3893" w:type="dxa"/>
            <w:vAlign w:val="top"/>
          </w:tcPr>
          <w:p>
            <w:pPr>
              <w:pStyle w:val="3"/>
              <w:adjustRightInd w:val="0"/>
              <w:snapToGrid w:val="0"/>
              <w:ind w:firstLine="0" w:firstLineChars="0"/>
              <w:rPr>
                <w:rFonts w:hint="eastAsia" w:ascii="仿宋" w:hAnsi="仿宋" w:eastAsia="仿宋" w:cs="仿宋"/>
                <w:sz w:val="30"/>
                <w:szCs w:val="30"/>
              </w:rPr>
            </w:pPr>
          </w:p>
        </w:tc>
        <w:tc>
          <w:tcPr>
            <w:tcW w:w="5043" w:type="dxa"/>
            <w:vAlign w:val="top"/>
          </w:tcPr>
          <w:p>
            <w:pPr>
              <w:pStyle w:val="3"/>
              <w:wordWrap w:val="0"/>
              <w:adjustRightInd w:val="0"/>
              <w:snapToGrid w:val="0"/>
              <w:ind w:firstLine="0" w:firstLineChars="0"/>
              <w:jc w:val="right"/>
              <w:rPr>
                <w:rFonts w:hint="eastAsia" w:ascii="仿宋" w:hAnsi="仿宋" w:eastAsia="仿宋" w:cs="仿宋"/>
                <w:color w:val="FF0000"/>
                <w:sz w:val="28"/>
                <w:szCs w:val="28"/>
              </w:rPr>
            </w:pPr>
            <w:r>
              <w:rPr>
                <w:rFonts w:hint="eastAsia" w:ascii="仿宋" w:hAnsi="仿宋" w:eastAsia="仿宋" w:cs="仿宋"/>
                <w:sz w:val="28"/>
                <w:szCs w:val="28"/>
              </w:rPr>
              <w:t>东高新协会〔2018〕03号</w:t>
            </w:r>
          </w:p>
        </w:tc>
      </w:tr>
    </w:tbl>
    <w:p>
      <w:pPr>
        <w:snapToGrid w:val="0"/>
        <w:spacing w:line="580" w:lineRule="exact"/>
        <w:jc w:val="center"/>
        <w:rPr>
          <w:rFonts w:hint="eastAsia" w:eastAsia="方正小标宋简体"/>
          <w:sz w:val="44"/>
          <w:szCs w:val="44"/>
        </w:rPr>
      </w:pPr>
    </w:p>
    <w:p>
      <w:pPr>
        <w:snapToGrid w:val="0"/>
        <w:spacing w:line="580" w:lineRule="exact"/>
        <w:jc w:val="center"/>
        <w:rPr>
          <w:rFonts w:eastAsia="方正小标宋简体"/>
          <w:sz w:val="44"/>
          <w:szCs w:val="44"/>
        </w:rPr>
      </w:pPr>
      <w:r>
        <w:rPr>
          <w:rFonts w:hint="eastAsia" w:eastAsia="方正小标宋简体"/>
          <w:sz w:val="44"/>
          <w:szCs w:val="44"/>
        </w:rPr>
        <w:t>创新东莞</w:t>
      </w:r>
      <w:r>
        <w:rPr>
          <w:rFonts w:eastAsia="方正小标宋简体"/>
          <w:sz w:val="44"/>
          <w:szCs w:val="44"/>
        </w:rPr>
        <w:t>评选章程</w:t>
      </w:r>
    </w:p>
    <w:p>
      <w:pPr>
        <w:snapToGrid w:val="0"/>
        <w:spacing w:line="580" w:lineRule="exact"/>
        <w:rPr>
          <w:rFonts w:eastAsia="仿宋_GB2312"/>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总则</w:t>
      </w:r>
    </w:p>
    <w:p>
      <w:pPr>
        <w:snapToGrid w:val="0"/>
        <w:spacing w:line="580" w:lineRule="exact"/>
        <w:ind w:firstLine="630"/>
        <w:rPr>
          <w:rFonts w:eastAsia="仿宋_GB2312"/>
          <w:sz w:val="32"/>
          <w:szCs w:val="32"/>
        </w:rPr>
      </w:pPr>
      <w:r>
        <w:rPr>
          <w:rFonts w:hint="eastAsia" w:ascii="黑体" w:hAnsi="黑体" w:eastAsia="黑体"/>
          <w:sz w:val="32"/>
          <w:szCs w:val="32"/>
        </w:rPr>
        <w:t>第一条</w:t>
      </w:r>
      <w:r>
        <w:rPr>
          <w:rFonts w:hint="eastAsia" w:eastAsia="仿宋_GB2312"/>
          <w:sz w:val="32"/>
          <w:szCs w:val="32"/>
        </w:rPr>
        <w:t>为贯彻落实十九大精神，积极打造创新驱动发展升级版，推动东莞向创新型一线城市迈进，进一步弘扬东莞崇尚创新、鼓励创业的城市精神，擦亮东莞创新之都的闪亮名片，由东莞市高新技术产业协会举办创新东莞评选活动（以下简称“评选活动”）。</w:t>
      </w:r>
    </w:p>
    <w:p>
      <w:pPr>
        <w:snapToGrid w:val="0"/>
        <w:spacing w:line="580" w:lineRule="exact"/>
        <w:ind w:firstLine="645"/>
        <w:rPr>
          <w:rFonts w:eastAsia="仿宋_GB2312"/>
          <w:sz w:val="32"/>
          <w:szCs w:val="32"/>
        </w:rPr>
      </w:pPr>
      <w:r>
        <w:rPr>
          <w:rFonts w:hint="eastAsia" w:ascii="黑体" w:hAnsi="黑体" w:eastAsia="黑体"/>
          <w:sz w:val="32"/>
          <w:szCs w:val="32"/>
        </w:rPr>
        <w:t xml:space="preserve">第二条  </w:t>
      </w:r>
      <w:r>
        <w:rPr>
          <w:rFonts w:hint="eastAsia" w:eastAsia="仿宋_GB2312"/>
          <w:sz w:val="32"/>
          <w:szCs w:val="32"/>
        </w:rPr>
        <w:t>评选活动的原则</w:t>
      </w:r>
    </w:p>
    <w:p>
      <w:pPr>
        <w:snapToGrid w:val="0"/>
        <w:spacing w:line="580" w:lineRule="exact"/>
        <w:ind w:firstLine="645"/>
        <w:rPr>
          <w:rFonts w:eastAsia="仿宋_GB2312"/>
          <w:sz w:val="32"/>
          <w:szCs w:val="32"/>
        </w:rPr>
      </w:pPr>
      <w:r>
        <w:rPr>
          <w:rFonts w:hint="eastAsia" w:eastAsia="仿宋_GB2312"/>
          <w:sz w:val="32"/>
          <w:szCs w:val="32"/>
        </w:rPr>
        <w:t>（一）公平公正。由东莞市高新技术产业协会专门成立本次活动的评选委员会，制定统一的评分标准，通过行业专家集中打分和社会公众网络投票的方式，评出代表东莞创新模范的十大企业和人物。</w:t>
      </w:r>
    </w:p>
    <w:p>
      <w:pPr>
        <w:snapToGrid w:val="0"/>
        <w:spacing w:line="580" w:lineRule="exact"/>
        <w:ind w:firstLine="645"/>
        <w:rPr>
          <w:rFonts w:eastAsia="仿宋_GB2312"/>
          <w:sz w:val="32"/>
          <w:szCs w:val="32"/>
        </w:rPr>
      </w:pPr>
      <w:r>
        <w:rPr>
          <w:rFonts w:hint="eastAsia" w:eastAsia="仿宋_GB2312"/>
          <w:sz w:val="32"/>
          <w:szCs w:val="32"/>
        </w:rPr>
        <w:t>（二）质量优先。获奖项目突出候选人在科技创新方面所作的贡献和成就，重点从知识产权、科技项目、科技奖励、科技论文等方面进行考量，确保获奖项目能够代表东莞科技创新的最高水平。</w:t>
      </w:r>
    </w:p>
    <w:p>
      <w:pPr>
        <w:snapToGrid w:val="0"/>
        <w:spacing w:line="580" w:lineRule="exact"/>
        <w:ind w:firstLine="645"/>
        <w:rPr>
          <w:rFonts w:eastAsia="仿宋_GB2312"/>
          <w:kern w:val="0"/>
          <w:sz w:val="32"/>
          <w:szCs w:val="32"/>
        </w:rPr>
      </w:pPr>
      <w:r>
        <w:rPr>
          <w:rFonts w:hint="eastAsia" w:eastAsia="仿宋_GB2312"/>
          <w:sz w:val="32"/>
          <w:szCs w:val="32"/>
        </w:rPr>
        <w:t>（三）公开透明。评选活动从项目申报、书面评审、网络投票、社会公示等环节全程面向社会开放，评审记录和过程文件均可依申请公开。</w:t>
      </w:r>
    </w:p>
    <w:p>
      <w:pPr>
        <w:snapToGrid w:val="0"/>
        <w:spacing w:line="580" w:lineRule="exact"/>
        <w:rPr>
          <w:rFonts w:eastAsia="仿宋_GB2312"/>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第二章  评奖条件</w:t>
      </w:r>
    </w:p>
    <w:p>
      <w:pPr>
        <w:snapToGrid w:val="0"/>
        <w:spacing w:line="580" w:lineRule="exact"/>
        <w:ind w:firstLine="630"/>
        <w:rPr>
          <w:rFonts w:eastAsia="仿宋_GB2312"/>
          <w:sz w:val="32"/>
          <w:szCs w:val="32"/>
        </w:rPr>
      </w:pPr>
      <w:r>
        <w:rPr>
          <w:rFonts w:hint="eastAsia" w:ascii="黑体" w:hAnsi="黑体" w:eastAsia="黑体"/>
          <w:sz w:val="32"/>
          <w:szCs w:val="32"/>
        </w:rPr>
        <w:t xml:space="preserve">第三条  </w:t>
      </w:r>
      <w:r>
        <w:rPr>
          <w:rFonts w:hint="eastAsia" w:eastAsia="仿宋_GB2312"/>
          <w:sz w:val="32"/>
          <w:szCs w:val="32"/>
        </w:rPr>
        <w:t>评选活动主要用于奖励和宣传致力于推进东莞乃至全国科学技术创新的个人和组织，其中获奖候选项目须为在东莞市注册成立的独立法人机构或在东莞市生活工作的个人，且近三年无相关违法犯罪记录。</w:t>
      </w:r>
    </w:p>
    <w:p>
      <w:pPr>
        <w:snapToGrid w:val="0"/>
        <w:spacing w:line="580" w:lineRule="exact"/>
        <w:ind w:firstLine="630"/>
        <w:rPr>
          <w:rFonts w:eastAsia="仿宋_GB2312"/>
          <w:bCs/>
          <w:smallCaps/>
          <w:sz w:val="32"/>
          <w:szCs w:val="32"/>
        </w:rPr>
      </w:pPr>
      <w:r>
        <w:rPr>
          <w:rFonts w:hint="eastAsia" w:ascii="黑体" w:hAnsi="黑体" w:eastAsia="黑体"/>
          <w:bCs/>
          <w:smallCaps/>
          <w:sz w:val="32"/>
          <w:szCs w:val="32"/>
        </w:rPr>
        <w:t xml:space="preserve">第四条  </w:t>
      </w:r>
      <w:r>
        <w:rPr>
          <w:rFonts w:hint="eastAsia" w:eastAsia="仿宋_GB2312"/>
          <w:sz w:val="32"/>
          <w:szCs w:val="32"/>
        </w:rPr>
        <w:t>评选活动</w:t>
      </w:r>
      <w:r>
        <w:rPr>
          <w:rFonts w:hint="eastAsia" w:eastAsia="仿宋_GB2312"/>
          <w:bCs/>
          <w:smallCaps/>
          <w:sz w:val="32"/>
          <w:szCs w:val="32"/>
        </w:rPr>
        <w:t>下设创新东莞评选委员会（以下简称“评选委员会”），获奖候选者由评选委员会认可的推荐单位以书面形式推荐</w:t>
      </w:r>
      <w:r>
        <w:rPr>
          <w:rFonts w:eastAsia="仿宋_GB2312"/>
          <w:sz w:val="32"/>
          <w:szCs w:val="32"/>
        </w:rPr>
        <w:t>，</w:t>
      </w:r>
      <w:r>
        <w:rPr>
          <w:rFonts w:hint="eastAsia" w:eastAsia="仿宋_GB2312"/>
          <w:sz w:val="32"/>
          <w:szCs w:val="32"/>
        </w:rPr>
        <w:t>推荐单位</w:t>
      </w:r>
      <w:r>
        <w:rPr>
          <w:rFonts w:eastAsia="仿宋_GB2312"/>
          <w:sz w:val="32"/>
          <w:szCs w:val="32"/>
        </w:rPr>
        <w:t>对相关材料的</w:t>
      </w:r>
      <w:r>
        <w:rPr>
          <w:rFonts w:hint="eastAsia" w:eastAsia="仿宋_GB2312"/>
          <w:sz w:val="32"/>
          <w:szCs w:val="32"/>
        </w:rPr>
        <w:t>有效</w:t>
      </w:r>
      <w:r>
        <w:rPr>
          <w:rFonts w:eastAsia="仿宋_GB2312"/>
          <w:sz w:val="32"/>
          <w:szCs w:val="32"/>
        </w:rPr>
        <w:t>性负责。</w:t>
      </w:r>
    </w:p>
    <w:p>
      <w:pPr>
        <w:snapToGrid w:val="0"/>
        <w:spacing w:line="580" w:lineRule="exact"/>
        <w:ind w:firstLine="630"/>
        <w:rPr>
          <w:rFonts w:eastAsia="仿宋_GB2312"/>
          <w:sz w:val="32"/>
          <w:szCs w:val="32"/>
        </w:rPr>
      </w:pPr>
      <w:r>
        <w:rPr>
          <w:rFonts w:hint="eastAsia" w:ascii="黑体" w:hAnsi="黑体" w:eastAsia="黑体"/>
          <w:bCs/>
          <w:smallCaps/>
          <w:sz w:val="32"/>
          <w:szCs w:val="32"/>
        </w:rPr>
        <w:t xml:space="preserve">第五条 </w:t>
      </w:r>
      <w:r>
        <w:rPr>
          <w:rFonts w:hint="eastAsia" w:eastAsia="仿宋_GB2312"/>
          <w:sz w:val="32"/>
          <w:szCs w:val="32"/>
        </w:rPr>
        <w:t>推荐单位一般为镇街（园区）科技主管部门、社会团体、市直相关部门等，每个推荐单位拥有一定数量的推荐名额。推荐单位应当充分了解被推荐人、组织、项目的真实情况，严格依据标准条件推荐，并提出推荐意见。</w:t>
      </w:r>
    </w:p>
    <w:p>
      <w:pPr>
        <w:snapToGrid w:val="0"/>
        <w:spacing w:line="580" w:lineRule="exact"/>
        <w:rPr>
          <w:rFonts w:eastAsia="仿宋_GB2312"/>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第三章  奖项设置</w:t>
      </w:r>
    </w:p>
    <w:p>
      <w:pPr>
        <w:snapToGrid w:val="0"/>
        <w:spacing w:line="580" w:lineRule="exact"/>
        <w:ind w:firstLine="630"/>
        <w:rPr>
          <w:rFonts w:eastAsia="仿宋_GB2312"/>
          <w:sz w:val="32"/>
          <w:szCs w:val="32"/>
        </w:rPr>
      </w:pPr>
      <w:r>
        <w:rPr>
          <w:rFonts w:hint="eastAsia" w:ascii="黑体" w:hAnsi="黑体" w:eastAsia="黑体"/>
          <w:sz w:val="32"/>
          <w:szCs w:val="32"/>
        </w:rPr>
        <w:t xml:space="preserve">第六条  </w:t>
      </w:r>
      <w:r>
        <w:rPr>
          <w:rFonts w:hint="eastAsia" w:eastAsia="仿宋_GB2312"/>
          <w:sz w:val="32"/>
          <w:szCs w:val="32"/>
        </w:rPr>
        <w:t>评选活动初定设置十大创新企业奖和十大创新人物奖。如根据经济社会发展需要增设或调整奖项内容的，由东莞市高新技术产业协会依照相关流程进行调整。</w:t>
      </w:r>
    </w:p>
    <w:p>
      <w:pPr>
        <w:snapToGrid w:val="0"/>
        <w:spacing w:line="580" w:lineRule="exact"/>
        <w:ind w:firstLine="630"/>
        <w:rPr>
          <w:rFonts w:eastAsia="仿宋_GB2312"/>
          <w:sz w:val="32"/>
          <w:szCs w:val="32"/>
        </w:rPr>
      </w:pPr>
      <w:r>
        <w:rPr>
          <w:rFonts w:hint="eastAsia" w:ascii="黑体" w:hAnsi="黑体" w:eastAsia="黑体"/>
          <w:sz w:val="32"/>
          <w:szCs w:val="32"/>
        </w:rPr>
        <w:t xml:space="preserve">第七条  </w:t>
      </w:r>
      <w:r>
        <w:rPr>
          <w:rFonts w:eastAsia="仿宋_GB2312"/>
          <w:sz w:val="32"/>
          <w:szCs w:val="32"/>
        </w:rPr>
        <w:t>十大创新企业奖主要用于奖励</w:t>
      </w:r>
      <w:r>
        <w:rPr>
          <w:rFonts w:hint="eastAsia" w:eastAsia="仿宋_GB2312"/>
          <w:sz w:val="32"/>
          <w:szCs w:val="32"/>
        </w:rPr>
        <w:t>在科学研究，新产品、新技术开发，高新技术项目、关键技术人才引进等方面取得显著效果，对本市经济建设与社会发展作出突出贡献；或通过加大研究与开发的投入力度，取得系列科技成果，并使自身实现快速发展的具有独立法人资格的东莞市企业</w:t>
      </w:r>
      <w:r>
        <w:rPr>
          <w:rFonts w:eastAsia="仿宋_GB2312"/>
          <w:sz w:val="32"/>
          <w:szCs w:val="32"/>
        </w:rPr>
        <w:t>。曾获得市级以上相关学术、科技、专利奖励</w:t>
      </w:r>
      <w:r>
        <w:rPr>
          <w:rFonts w:hint="eastAsia" w:eastAsia="仿宋_GB2312"/>
          <w:sz w:val="32"/>
          <w:szCs w:val="32"/>
        </w:rPr>
        <w:t>或荣誉称号认定</w:t>
      </w:r>
      <w:r>
        <w:rPr>
          <w:rFonts w:eastAsia="仿宋_GB2312"/>
          <w:sz w:val="32"/>
          <w:szCs w:val="32"/>
        </w:rPr>
        <w:t>，科技成果水平达到</w:t>
      </w:r>
      <w:r>
        <w:rPr>
          <w:rFonts w:hint="eastAsia" w:eastAsia="仿宋_GB2312"/>
          <w:sz w:val="32"/>
          <w:szCs w:val="32"/>
        </w:rPr>
        <w:t>国内领先</w:t>
      </w:r>
      <w:r>
        <w:rPr>
          <w:rFonts w:eastAsia="仿宋_GB2312"/>
          <w:sz w:val="32"/>
          <w:szCs w:val="32"/>
        </w:rPr>
        <w:t>水平以上的优先考虑。</w:t>
      </w:r>
    </w:p>
    <w:p>
      <w:pPr>
        <w:snapToGrid w:val="0"/>
        <w:spacing w:line="580" w:lineRule="exact"/>
        <w:ind w:firstLine="630"/>
        <w:rPr>
          <w:rFonts w:eastAsia="仿宋_GB2312"/>
          <w:sz w:val="32"/>
          <w:szCs w:val="32"/>
        </w:rPr>
      </w:pPr>
      <w:r>
        <w:rPr>
          <w:rFonts w:hint="eastAsia" w:ascii="黑体" w:hAnsi="黑体" w:eastAsia="黑体"/>
          <w:sz w:val="32"/>
          <w:szCs w:val="32"/>
        </w:rPr>
        <w:t xml:space="preserve">第八条  </w:t>
      </w:r>
      <w:r>
        <w:rPr>
          <w:rFonts w:eastAsia="仿宋_GB2312"/>
          <w:sz w:val="32"/>
          <w:szCs w:val="32"/>
        </w:rPr>
        <w:t>十大创新人物奖主要用于奖励奋斗在科学技术前沿、致力于推动全市科学技术进步、</w:t>
      </w:r>
      <w:r>
        <w:rPr>
          <w:rFonts w:hint="eastAsia" w:eastAsia="仿宋_GB2312"/>
          <w:sz w:val="32"/>
          <w:szCs w:val="32"/>
        </w:rPr>
        <w:t>取得了一定的科技创新和突破、</w:t>
      </w:r>
      <w:r>
        <w:rPr>
          <w:rFonts w:eastAsia="仿宋_GB2312"/>
          <w:sz w:val="32"/>
          <w:szCs w:val="32"/>
        </w:rPr>
        <w:t>建立了具有一定影响力的自主知识产权或自主品牌的科技一线工作者。曾获得市级以上相关学术、科技、专利奖励</w:t>
      </w:r>
      <w:r>
        <w:rPr>
          <w:rFonts w:hint="eastAsia" w:eastAsia="仿宋_GB2312"/>
          <w:sz w:val="32"/>
          <w:szCs w:val="32"/>
        </w:rPr>
        <w:t>或荣誉称号认定</w:t>
      </w:r>
      <w:r>
        <w:rPr>
          <w:rFonts w:eastAsia="仿宋_GB2312"/>
          <w:sz w:val="32"/>
          <w:szCs w:val="32"/>
        </w:rPr>
        <w:t>，科技成果水平达到</w:t>
      </w:r>
      <w:r>
        <w:rPr>
          <w:rFonts w:hint="eastAsia" w:eastAsia="仿宋_GB2312"/>
          <w:sz w:val="32"/>
          <w:szCs w:val="32"/>
        </w:rPr>
        <w:t>国内领先</w:t>
      </w:r>
      <w:r>
        <w:rPr>
          <w:rFonts w:eastAsia="仿宋_GB2312"/>
          <w:sz w:val="32"/>
          <w:szCs w:val="32"/>
        </w:rPr>
        <w:t>水平以上的优先考虑。</w:t>
      </w:r>
    </w:p>
    <w:p>
      <w:pPr>
        <w:snapToGrid w:val="0"/>
        <w:spacing w:line="580" w:lineRule="exact"/>
        <w:ind w:firstLine="630"/>
        <w:rPr>
          <w:rFonts w:eastAsia="仿宋_GB2312"/>
          <w:sz w:val="32"/>
          <w:szCs w:val="32"/>
        </w:rPr>
      </w:pPr>
      <w:r>
        <w:rPr>
          <w:rFonts w:hint="eastAsia" w:ascii="黑体" w:hAnsi="黑体" w:eastAsia="黑体"/>
          <w:bCs/>
          <w:smallCaps/>
          <w:sz w:val="32"/>
          <w:szCs w:val="32"/>
        </w:rPr>
        <w:t xml:space="preserve">第九条  </w:t>
      </w:r>
      <w:r>
        <w:rPr>
          <w:rFonts w:eastAsia="仿宋_GB2312"/>
          <w:sz w:val="32"/>
          <w:szCs w:val="32"/>
        </w:rPr>
        <w:t>十大创新企业奖</w:t>
      </w:r>
      <w:r>
        <w:rPr>
          <w:rFonts w:hint="eastAsia" w:eastAsia="仿宋_GB2312"/>
          <w:sz w:val="32"/>
          <w:szCs w:val="32"/>
        </w:rPr>
        <w:t>和</w:t>
      </w:r>
      <w:r>
        <w:rPr>
          <w:rFonts w:eastAsia="仿宋_GB2312"/>
          <w:sz w:val="32"/>
          <w:szCs w:val="32"/>
        </w:rPr>
        <w:t>十大创新人物奖</w:t>
      </w:r>
      <w:r>
        <w:rPr>
          <w:rFonts w:hint="eastAsia" w:eastAsia="仿宋_GB2312"/>
          <w:bCs/>
          <w:smallCaps/>
          <w:sz w:val="32"/>
          <w:szCs w:val="32"/>
        </w:rPr>
        <w:t>获奖名额各</w:t>
      </w:r>
      <w:r>
        <w:rPr>
          <w:rFonts w:hint="eastAsia" w:eastAsia="仿宋_GB2312"/>
          <w:sz w:val="32"/>
          <w:szCs w:val="32"/>
        </w:rPr>
        <w:t>10个，原则上同一企业/个人不能在三年内重复获奖。</w:t>
      </w:r>
    </w:p>
    <w:p>
      <w:pPr>
        <w:snapToGrid w:val="0"/>
        <w:spacing w:line="580" w:lineRule="exact"/>
        <w:rPr>
          <w:rFonts w:eastAsia="仿宋_GB2312"/>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第四章  评选工作</w:t>
      </w:r>
    </w:p>
    <w:p>
      <w:pPr>
        <w:snapToGrid w:val="0"/>
        <w:spacing w:line="580" w:lineRule="exact"/>
        <w:ind w:firstLine="630"/>
        <w:rPr>
          <w:rFonts w:eastAsia="仿宋_GB2312"/>
          <w:sz w:val="32"/>
          <w:szCs w:val="32"/>
        </w:rPr>
      </w:pPr>
      <w:r>
        <w:rPr>
          <w:rFonts w:hint="eastAsia" w:ascii="黑体" w:hAnsi="黑体" w:eastAsia="黑体"/>
          <w:sz w:val="32"/>
          <w:szCs w:val="32"/>
        </w:rPr>
        <w:t xml:space="preserve">第十条  </w:t>
      </w:r>
      <w:r>
        <w:rPr>
          <w:rFonts w:hint="eastAsia" w:eastAsia="仿宋_GB2312"/>
          <w:sz w:val="32"/>
          <w:szCs w:val="32"/>
        </w:rPr>
        <w:t>评选活动下设评选委员会，负责奖项的评选工作。评选委员会由</w:t>
      </w:r>
      <w:r>
        <w:rPr>
          <w:rFonts w:eastAsia="仿宋_GB2312"/>
          <w:sz w:val="32"/>
          <w:szCs w:val="32"/>
        </w:rPr>
        <w:t>各相关领域具有高尚道德情操、精深学术造诣、热心科技奖励事业的</w:t>
      </w:r>
      <w:r>
        <w:rPr>
          <w:rFonts w:hint="eastAsia" w:eastAsia="仿宋_GB2312"/>
          <w:sz w:val="32"/>
          <w:szCs w:val="32"/>
        </w:rPr>
        <w:t>数量为单数的</w:t>
      </w:r>
      <w:r>
        <w:rPr>
          <w:rFonts w:eastAsia="仿宋_GB2312"/>
          <w:sz w:val="32"/>
          <w:szCs w:val="32"/>
        </w:rPr>
        <w:t>专家组成</w:t>
      </w:r>
      <w:r>
        <w:rPr>
          <w:rFonts w:hint="eastAsia" w:eastAsia="仿宋_GB2312"/>
          <w:sz w:val="32"/>
          <w:szCs w:val="32"/>
        </w:rPr>
        <w:t>，其中技术专家不少于一半，</w:t>
      </w:r>
      <w:r>
        <w:rPr>
          <w:rFonts w:eastAsia="仿宋_GB2312"/>
          <w:sz w:val="32"/>
          <w:szCs w:val="32"/>
        </w:rPr>
        <w:t>最多不超过20人，</w:t>
      </w:r>
      <w:r>
        <w:rPr>
          <w:rFonts w:hint="eastAsia" w:eastAsia="仿宋_GB2312"/>
          <w:sz w:val="32"/>
          <w:szCs w:val="32"/>
        </w:rPr>
        <w:t>包括</w:t>
      </w:r>
      <w:r>
        <w:rPr>
          <w:rFonts w:eastAsia="仿宋_GB2312"/>
          <w:sz w:val="32"/>
          <w:szCs w:val="32"/>
        </w:rPr>
        <w:t>主任</w:t>
      </w:r>
      <w:r>
        <w:rPr>
          <w:rFonts w:hint="eastAsia" w:eastAsia="仿宋_GB2312"/>
          <w:sz w:val="32"/>
          <w:szCs w:val="32"/>
        </w:rPr>
        <w:t>1</w:t>
      </w:r>
      <w:r>
        <w:rPr>
          <w:rFonts w:eastAsia="仿宋_GB2312"/>
          <w:sz w:val="32"/>
          <w:szCs w:val="32"/>
        </w:rPr>
        <w:t>人、副主任</w:t>
      </w:r>
      <w:r>
        <w:rPr>
          <w:rFonts w:hint="eastAsia" w:eastAsia="仿宋_GB2312"/>
          <w:sz w:val="32"/>
          <w:szCs w:val="32"/>
        </w:rPr>
        <w:t>2</w:t>
      </w:r>
      <w:r>
        <w:rPr>
          <w:rFonts w:eastAsia="仿宋_GB2312"/>
          <w:sz w:val="32"/>
          <w:szCs w:val="32"/>
        </w:rPr>
        <w:t>人</w:t>
      </w:r>
      <w:r>
        <w:rPr>
          <w:rFonts w:hint="eastAsia" w:eastAsia="仿宋_GB2312"/>
          <w:sz w:val="32"/>
          <w:szCs w:val="32"/>
        </w:rPr>
        <w:t>，委员会</w:t>
      </w:r>
      <w:r>
        <w:rPr>
          <w:rFonts w:eastAsia="仿宋_GB2312"/>
          <w:sz w:val="32"/>
          <w:szCs w:val="32"/>
        </w:rPr>
        <w:t>委员的聘任，贯彻相对稳定和适度更新的原则</w:t>
      </w:r>
      <w:r>
        <w:rPr>
          <w:rFonts w:hint="eastAsia" w:eastAsia="仿宋_GB2312"/>
          <w:sz w:val="32"/>
          <w:szCs w:val="32"/>
        </w:rPr>
        <w:t>，</w:t>
      </w:r>
      <w:r>
        <w:rPr>
          <w:rFonts w:eastAsia="仿宋_GB2312"/>
          <w:sz w:val="32"/>
          <w:szCs w:val="32"/>
        </w:rPr>
        <w:t>其办法由评选委员会制定。</w:t>
      </w:r>
    </w:p>
    <w:p>
      <w:pPr>
        <w:snapToGrid w:val="0"/>
        <w:spacing w:line="580" w:lineRule="exact"/>
        <w:ind w:firstLine="630"/>
        <w:rPr>
          <w:rFonts w:eastAsia="仿宋_GB2312"/>
          <w:sz w:val="32"/>
          <w:szCs w:val="32"/>
        </w:rPr>
      </w:pPr>
      <w:r>
        <w:rPr>
          <w:rFonts w:hint="eastAsia" w:ascii="黑体" w:hAnsi="黑体" w:eastAsia="黑体"/>
          <w:sz w:val="32"/>
          <w:szCs w:val="32"/>
        </w:rPr>
        <w:t xml:space="preserve">第十一条  </w:t>
      </w:r>
      <w:r>
        <w:rPr>
          <w:rFonts w:hint="eastAsia" w:eastAsia="仿宋_GB2312"/>
          <w:sz w:val="32"/>
          <w:szCs w:val="32"/>
        </w:rPr>
        <w:t>评选委员会办公室每年根据申报奖项的行业领域组建若干评审小组，每个评审小组由3个以上、总数为单数的行业专家组成，行业专家原则上为副高职称级别或以上的评审专家库专家。</w:t>
      </w:r>
    </w:p>
    <w:p>
      <w:pPr>
        <w:snapToGrid w:val="0"/>
        <w:spacing w:line="580" w:lineRule="exact"/>
        <w:ind w:firstLine="630"/>
        <w:rPr>
          <w:rFonts w:eastAsia="仿宋_GB2312"/>
          <w:bCs/>
          <w:smallCaps/>
          <w:sz w:val="32"/>
          <w:szCs w:val="32"/>
        </w:rPr>
      </w:pPr>
      <w:r>
        <w:rPr>
          <w:rFonts w:hint="eastAsia" w:ascii="黑体" w:hAnsi="黑体" w:eastAsia="黑体"/>
          <w:bCs/>
          <w:smallCaps/>
          <w:sz w:val="32"/>
          <w:szCs w:val="32"/>
        </w:rPr>
        <w:t xml:space="preserve">第十二条  </w:t>
      </w:r>
      <w:r>
        <w:rPr>
          <w:rFonts w:hint="eastAsia" w:eastAsia="仿宋_GB2312"/>
          <w:bCs/>
          <w:smallCaps/>
          <w:sz w:val="32"/>
          <w:szCs w:val="32"/>
        </w:rPr>
        <w:t>评奖流程：</w:t>
      </w:r>
    </w:p>
    <w:p>
      <w:pPr>
        <w:snapToGrid w:val="0"/>
        <w:spacing w:line="580" w:lineRule="exact"/>
        <w:ind w:firstLine="630"/>
        <w:rPr>
          <w:rFonts w:eastAsia="仿宋_GB2312"/>
          <w:bCs/>
          <w:smallCaps/>
          <w:sz w:val="32"/>
          <w:szCs w:val="32"/>
        </w:rPr>
      </w:pPr>
      <w:r>
        <w:rPr>
          <w:rFonts w:hint="eastAsia" w:eastAsia="仿宋_GB2312"/>
          <w:bCs/>
          <w:smallCaps/>
          <w:sz w:val="32"/>
          <w:szCs w:val="32"/>
        </w:rPr>
        <w:t>1、项目申报。评选委员会办公室公开发布奖项受理通知，收集拟奖项目的申报材料。申报单位须对材料的真实性和准确性负责，在获得推荐单位推荐意见后方可申报。</w:t>
      </w:r>
    </w:p>
    <w:p>
      <w:pPr>
        <w:snapToGrid w:val="0"/>
        <w:spacing w:line="580" w:lineRule="exact"/>
        <w:ind w:firstLine="630"/>
        <w:rPr>
          <w:rFonts w:eastAsia="仿宋_GB2312"/>
          <w:bCs/>
          <w:smallCaps/>
          <w:sz w:val="32"/>
          <w:szCs w:val="32"/>
        </w:rPr>
      </w:pPr>
      <w:r>
        <w:rPr>
          <w:rFonts w:hint="eastAsia" w:eastAsia="仿宋_GB2312"/>
          <w:bCs/>
          <w:smallCaps/>
          <w:sz w:val="32"/>
          <w:szCs w:val="32"/>
        </w:rPr>
        <w:t>2、书面评审。评选委员会办公室根据被推荐企业和个人的学科领域组织行业专家，对申报材料进行集中评审和书面打分，每类十大创新奖项目排名前20的进入下一轮。</w:t>
      </w:r>
    </w:p>
    <w:p>
      <w:pPr>
        <w:snapToGrid w:val="0"/>
        <w:spacing w:line="580" w:lineRule="exact"/>
        <w:ind w:firstLine="630"/>
        <w:rPr>
          <w:rFonts w:eastAsia="仿宋_GB2312"/>
          <w:sz w:val="32"/>
          <w:szCs w:val="32"/>
        </w:rPr>
      </w:pPr>
      <w:r>
        <w:rPr>
          <w:rFonts w:hint="eastAsia" w:eastAsia="仿宋_GB2312"/>
          <w:bCs/>
          <w:smallCaps/>
          <w:sz w:val="32"/>
          <w:szCs w:val="32"/>
        </w:rPr>
        <w:t>3、网络投票。</w:t>
      </w:r>
      <w:r>
        <w:rPr>
          <w:rFonts w:hint="eastAsia" w:eastAsia="仿宋_GB2312"/>
          <w:sz w:val="32"/>
          <w:szCs w:val="32"/>
        </w:rPr>
        <w:t>各自类别排名前20名的项目通过网络平台进行展示，面向社会公众进行投票，票数折算为得分后，与书面评审得分加权算出排名前10的项目。</w:t>
      </w:r>
    </w:p>
    <w:p>
      <w:pPr>
        <w:snapToGrid w:val="0"/>
        <w:spacing w:line="580" w:lineRule="exact"/>
        <w:ind w:firstLine="630"/>
        <w:rPr>
          <w:rFonts w:eastAsia="仿宋_GB2312"/>
          <w:bCs/>
          <w:smallCaps/>
          <w:sz w:val="32"/>
          <w:szCs w:val="32"/>
        </w:rPr>
      </w:pPr>
      <w:r>
        <w:rPr>
          <w:rFonts w:hint="eastAsia" w:eastAsia="仿宋_GB2312"/>
          <w:sz w:val="32"/>
          <w:szCs w:val="32"/>
        </w:rPr>
        <w:t>4、成员投票。各自类别排名前10的项目由评选委员会所有成员进行投票，</w:t>
      </w:r>
      <w:r>
        <w:rPr>
          <w:rFonts w:eastAsia="仿宋_GB2312"/>
          <w:sz w:val="32"/>
          <w:szCs w:val="32"/>
        </w:rPr>
        <w:t>如有2/3通过，则该项目获十大创新企业奖/十大创新人物奖</w:t>
      </w:r>
      <w:r>
        <w:rPr>
          <w:rFonts w:hint="eastAsia" w:eastAsia="仿宋_GB2312"/>
          <w:sz w:val="32"/>
          <w:szCs w:val="32"/>
        </w:rPr>
        <w:t>；如不通过，则按打分排序顺延递补。</w:t>
      </w:r>
    </w:p>
    <w:p>
      <w:pPr>
        <w:snapToGrid w:val="0"/>
        <w:spacing w:line="580" w:lineRule="exact"/>
        <w:ind w:firstLine="630"/>
        <w:rPr>
          <w:rFonts w:eastAsia="仿宋_GB2312"/>
          <w:bCs/>
          <w:smallCaps/>
          <w:sz w:val="32"/>
          <w:szCs w:val="32"/>
        </w:rPr>
      </w:pPr>
      <w:r>
        <w:rPr>
          <w:rFonts w:hint="eastAsia" w:eastAsia="仿宋_GB2312"/>
          <w:bCs/>
          <w:smallCaps/>
          <w:sz w:val="32"/>
          <w:szCs w:val="32"/>
        </w:rPr>
        <w:t>5、社会公示。</w:t>
      </w:r>
      <w:r>
        <w:rPr>
          <w:rFonts w:eastAsia="仿宋_GB2312"/>
          <w:sz w:val="32"/>
          <w:szCs w:val="32"/>
        </w:rPr>
        <w:t>通过</w:t>
      </w:r>
      <w:r>
        <w:rPr>
          <w:rFonts w:hint="eastAsia" w:eastAsia="仿宋_GB2312"/>
          <w:sz w:val="32"/>
          <w:szCs w:val="32"/>
        </w:rPr>
        <w:t>审核</w:t>
      </w:r>
      <w:r>
        <w:rPr>
          <w:rFonts w:eastAsia="仿宋_GB2312"/>
          <w:sz w:val="32"/>
          <w:szCs w:val="32"/>
        </w:rPr>
        <w:t>的项目将进行社会公示，公示期7天，如无异议则</w:t>
      </w:r>
      <w:r>
        <w:rPr>
          <w:rFonts w:hint="eastAsia" w:eastAsia="仿宋_GB2312"/>
          <w:sz w:val="32"/>
          <w:szCs w:val="32"/>
        </w:rPr>
        <w:t>获奖</w:t>
      </w:r>
      <w:r>
        <w:rPr>
          <w:rFonts w:eastAsia="仿宋_GB2312"/>
          <w:sz w:val="32"/>
          <w:szCs w:val="32"/>
        </w:rPr>
        <w:t>。</w:t>
      </w:r>
    </w:p>
    <w:p>
      <w:pPr>
        <w:snapToGrid w:val="0"/>
        <w:spacing w:line="580" w:lineRule="exact"/>
        <w:rPr>
          <w:rFonts w:eastAsia="仿宋_GB2312"/>
          <w:sz w:val="32"/>
          <w:szCs w:val="32"/>
        </w:rPr>
      </w:pPr>
    </w:p>
    <w:p>
      <w:pPr>
        <w:snapToGrid w:val="0"/>
        <w:spacing w:line="580" w:lineRule="exact"/>
        <w:jc w:val="center"/>
        <w:rPr>
          <w:rFonts w:ascii="黑体" w:hAnsi="黑体" w:eastAsia="黑体"/>
          <w:bCs/>
          <w:smallCaps/>
          <w:sz w:val="32"/>
          <w:szCs w:val="32"/>
        </w:rPr>
      </w:pPr>
      <w:r>
        <w:rPr>
          <w:rFonts w:hint="eastAsia" w:ascii="黑体" w:hAnsi="黑体" w:eastAsia="黑体"/>
          <w:sz w:val="32"/>
          <w:szCs w:val="32"/>
        </w:rPr>
        <w:t xml:space="preserve">第五章  </w:t>
      </w:r>
      <w:r>
        <w:rPr>
          <w:rFonts w:hint="eastAsia" w:ascii="黑体" w:hAnsi="黑体" w:eastAsia="黑体"/>
          <w:bCs/>
          <w:smallCaps/>
          <w:sz w:val="32"/>
          <w:szCs w:val="32"/>
        </w:rPr>
        <w:t>奖项授予</w:t>
      </w:r>
    </w:p>
    <w:p>
      <w:pPr>
        <w:snapToGrid w:val="0"/>
        <w:spacing w:line="580" w:lineRule="exact"/>
        <w:ind w:firstLine="630"/>
        <w:rPr>
          <w:rFonts w:eastAsia="仿宋_GB2312"/>
          <w:bCs/>
          <w:smallCaps/>
          <w:sz w:val="32"/>
          <w:szCs w:val="32"/>
        </w:rPr>
      </w:pPr>
      <w:r>
        <w:rPr>
          <w:rFonts w:hint="eastAsia" w:ascii="黑体" w:hAnsi="黑体" w:eastAsia="黑体"/>
          <w:bCs/>
          <w:smallCaps/>
          <w:sz w:val="32"/>
          <w:szCs w:val="32"/>
        </w:rPr>
        <w:t xml:space="preserve">第十三条  </w:t>
      </w:r>
      <w:r>
        <w:rPr>
          <w:rFonts w:hint="eastAsia" w:eastAsia="仿宋_GB2312"/>
          <w:sz w:val="32"/>
          <w:szCs w:val="32"/>
        </w:rPr>
        <w:t>评选活动通过</w:t>
      </w:r>
      <w:r>
        <w:rPr>
          <w:rFonts w:hint="eastAsia" w:eastAsia="仿宋_GB2312"/>
          <w:bCs/>
          <w:smallCaps/>
          <w:sz w:val="32"/>
          <w:szCs w:val="32"/>
        </w:rPr>
        <w:t>组织科技奖励大会等活动，对获奖人进行授奖，并邀请相关业务指导部门负责人莅临见证。</w:t>
      </w:r>
    </w:p>
    <w:p>
      <w:pPr>
        <w:snapToGrid w:val="0"/>
        <w:spacing w:line="580" w:lineRule="exact"/>
        <w:ind w:firstLine="630"/>
        <w:rPr>
          <w:rFonts w:eastAsia="仿宋_GB2312"/>
          <w:bCs/>
          <w:smallCaps/>
          <w:sz w:val="32"/>
          <w:szCs w:val="32"/>
        </w:rPr>
      </w:pPr>
      <w:r>
        <w:rPr>
          <w:rFonts w:ascii="黑体" w:hAnsi="黑体" w:eastAsia="黑体"/>
          <w:bCs/>
          <w:smallCaps/>
          <w:sz w:val="32"/>
          <w:szCs w:val="32"/>
        </w:rPr>
        <w:t>第十</w:t>
      </w:r>
      <w:r>
        <w:rPr>
          <w:rFonts w:hint="eastAsia" w:ascii="黑体" w:hAnsi="黑体" w:eastAsia="黑体"/>
          <w:bCs/>
          <w:smallCaps/>
          <w:sz w:val="32"/>
          <w:szCs w:val="32"/>
        </w:rPr>
        <w:t>四</w:t>
      </w:r>
      <w:r>
        <w:rPr>
          <w:rFonts w:ascii="黑体" w:hAnsi="黑体" w:eastAsia="黑体"/>
          <w:bCs/>
          <w:smallCaps/>
          <w:sz w:val="32"/>
          <w:szCs w:val="32"/>
        </w:rPr>
        <w:t>条</w:t>
      </w:r>
      <w:r>
        <w:rPr>
          <w:rFonts w:hint="eastAsia" w:eastAsia="仿宋_GB2312"/>
          <w:sz w:val="32"/>
          <w:szCs w:val="32"/>
        </w:rPr>
        <w:t>评选活动</w:t>
      </w:r>
      <w:r>
        <w:rPr>
          <w:rFonts w:eastAsia="仿宋_GB2312"/>
          <w:bCs/>
          <w:smallCaps/>
          <w:sz w:val="32"/>
          <w:szCs w:val="32"/>
        </w:rPr>
        <w:t>出版介绍获奖人及其主要科学技术成就的出版物。出版物的编辑、出版工作由评选委员会负责。</w:t>
      </w:r>
    </w:p>
    <w:p>
      <w:pPr>
        <w:snapToGrid w:val="0"/>
        <w:spacing w:line="580" w:lineRule="exact"/>
        <w:ind w:firstLine="630"/>
        <w:rPr>
          <w:rFonts w:eastAsia="仿宋_GB2312"/>
          <w:bCs/>
          <w:smallCaps/>
          <w:sz w:val="32"/>
          <w:szCs w:val="32"/>
        </w:rPr>
      </w:pPr>
      <w:r>
        <w:rPr>
          <w:rFonts w:ascii="黑体" w:hAnsi="黑体" w:eastAsia="黑体"/>
          <w:bCs/>
          <w:smallCaps/>
          <w:sz w:val="32"/>
          <w:szCs w:val="32"/>
        </w:rPr>
        <w:t>第</w:t>
      </w:r>
      <w:r>
        <w:rPr>
          <w:rFonts w:hint="eastAsia" w:ascii="黑体" w:hAnsi="黑体" w:eastAsia="黑体"/>
          <w:bCs/>
          <w:smallCaps/>
          <w:sz w:val="32"/>
          <w:szCs w:val="32"/>
        </w:rPr>
        <w:t>十五</w:t>
      </w:r>
      <w:r>
        <w:rPr>
          <w:rFonts w:ascii="黑体" w:hAnsi="黑体" w:eastAsia="黑体"/>
          <w:bCs/>
          <w:smallCaps/>
          <w:sz w:val="32"/>
          <w:szCs w:val="32"/>
        </w:rPr>
        <w:t>条</w:t>
      </w:r>
      <w:r>
        <w:rPr>
          <w:rFonts w:hint="eastAsia" w:eastAsia="仿宋_GB2312"/>
          <w:sz w:val="32"/>
          <w:szCs w:val="32"/>
        </w:rPr>
        <w:t>评选活动期间将</w:t>
      </w:r>
      <w:r>
        <w:rPr>
          <w:rFonts w:eastAsia="仿宋_GB2312"/>
          <w:bCs/>
          <w:smallCaps/>
          <w:sz w:val="32"/>
          <w:szCs w:val="32"/>
        </w:rPr>
        <w:t>举办学术报告会、研讨会</w:t>
      </w:r>
      <w:r>
        <w:rPr>
          <w:rFonts w:hint="eastAsia" w:eastAsia="仿宋_GB2312"/>
          <w:bCs/>
          <w:smallCaps/>
          <w:sz w:val="32"/>
          <w:szCs w:val="32"/>
        </w:rPr>
        <w:t>等活动</w:t>
      </w:r>
      <w:r>
        <w:rPr>
          <w:rFonts w:eastAsia="仿宋_GB2312"/>
          <w:bCs/>
          <w:smallCaps/>
          <w:sz w:val="32"/>
          <w:szCs w:val="32"/>
        </w:rPr>
        <w:t>，由评选委员会委员、获奖人代表介绍其学术成就及相关学科领域的进展。</w:t>
      </w:r>
      <w:r>
        <w:rPr>
          <w:rFonts w:hint="eastAsia" w:eastAsia="仿宋_GB2312"/>
          <w:sz w:val="32"/>
          <w:szCs w:val="32"/>
        </w:rPr>
        <w:t>评选活动</w:t>
      </w:r>
      <w:r>
        <w:rPr>
          <w:rFonts w:eastAsia="仿宋_GB2312"/>
          <w:bCs/>
          <w:smallCaps/>
          <w:sz w:val="32"/>
          <w:szCs w:val="32"/>
        </w:rPr>
        <w:t>学术报告会、研讨会由评选委员会负责组织。</w:t>
      </w:r>
    </w:p>
    <w:p>
      <w:pPr>
        <w:snapToGrid w:val="0"/>
        <w:spacing w:line="580" w:lineRule="exact"/>
        <w:rPr>
          <w:rFonts w:eastAsia="仿宋_GB2312"/>
          <w:sz w:val="32"/>
          <w:szCs w:val="32"/>
        </w:rPr>
      </w:pPr>
    </w:p>
    <w:p>
      <w:pPr>
        <w:snapToGrid w:val="0"/>
        <w:spacing w:line="580" w:lineRule="exact"/>
        <w:jc w:val="center"/>
        <w:rPr>
          <w:rFonts w:ascii="黑体" w:hAnsi="黑体" w:eastAsia="黑体"/>
          <w:bCs/>
          <w:smallCaps/>
          <w:sz w:val="32"/>
          <w:szCs w:val="32"/>
        </w:rPr>
      </w:pPr>
      <w:r>
        <w:rPr>
          <w:rFonts w:hint="eastAsia" w:ascii="黑体" w:hAnsi="黑体" w:eastAsia="黑体"/>
          <w:sz w:val="32"/>
          <w:szCs w:val="32"/>
        </w:rPr>
        <w:t xml:space="preserve">第六章  </w:t>
      </w:r>
      <w:r>
        <w:rPr>
          <w:rFonts w:hint="eastAsia" w:ascii="黑体" w:hAnsi="黑体" w:eastAsia="黑体"/>
          <w:bCs/>
          <w:smallCaps/>
          <w:sz w:val="32"/>
          <w:szCs w:val="32"/>
        </w:rPr>
        <w:t>监督管理</w:t>
      </w:r>
    </w:p>
    <w:p>
      <w:pPr>
        <w:snapToGrid w:val="0"/>
        <w:spacing w:line="580" w:lineRule="exact"/>
        <w:ind w:firstLine="630"/>
        <w:rPr>
          <w:rFonts w:eastAsia="仿宋_GB2312"/>
          <w:bCs/>
          <w:smallCaps/>
          <w:sz w:val="32"/>
          <w:szCs w:val="32"/>
        </w:rPr>
      </w:pPr>
      <w:r>
        <w:rPr>
          <w:rFonts w:hint="eastAsia" w:ascii="黑体" w:hAnsi="黑体" w:eastAsia="黑体"/>
          <w:bCs/>
          <w:smallCaps/>
          <w:sz w:val="32"/>
          <w:szCs w:val="32"/>
        </w:rPr>
        <w:t xml:space="preserve">第十六条 </w:t>
      </w:r>
      <w:r>
        <w:rPr>
          <w:rFonts w:hint="eastAsia" w:eastAsia="仿宋_GB2312"/>
          <w:sz w:val="32"/>
          <w:szCs w:val="32"/>
        </w:rPr>
        <w:t>评选活动过程中不收取任何费用，也不会以营利为目的使用奖项的名义进行各类营销宣传活动。</w:t>
      </w:r>
    </w:p>
    <w:p>
      <w:pPr>
        <w:snapToGrid w:val="0"/>
        <w:spacing w:line="580" w:lineRule="exact"/>
        <w:ind w:firstLine="630"/>
        <w:rPr>
          <w:rFonts w:eastAsia="仿宋_GB2312"/>
          <w:sz w:val="32"/>
          <w:szCs w:val="32"/>
        </w:rPr>
      </w:pPr>
      <w:r>
        <w:rPr>
          <w:rFonts w:hint="eastAsia" w:ascii="黑体" w:hAnsi="黑体" w:eastAsia="黑体"/>
          <w:bCs/>
          <w:smallCaps/>
          <w:sz w:val="32"/>
          <w:szCs w:val="32"/>
        </w:rPr>
        <w:t xml:space="preserve">第十七条  </w:t>
      </w:r>
      <w:r>
        <w:rPr>
          <w:rFonts w:hint="eastAsia" w:eastAsia="仿宋_GB2312"/>
          <w:sz w:val="32"/>
          <w:szCs w:val="32"/>
        </w:rPr>
        <w:t>评选委员会将</w:t>
      </w:r>
      <w:r>
        <w:rPr>
          <w:rFonts w:hint="eastAsia" w:eastAsia="仿宋_GB2312"/>
          <w:bCs/>
          <w:smallCaps/>
          <w:sz w:val="32"/>
          <w:szCs w:val="32"/>
        </w:rPr>
        <w:t>严格确保</w:t>
      </w:r>
      <w:r>
        <w:rPr>
          <w:rFonts w:hint="eastAsia" w:eastAsia="仿宋_GB2312"/>
          <w:sz w:val="32"/>
          <w:szCs w:val="32"/>
        </w:rPr>
        <w:t>评选委员会委员、评选专家、推荐单位按照有关管理监督办法规定，履行保密义务，并对所评项目作出公正的评价。</w:t>
      </w:r>
    </w:p>
    <w:p>
      <w:pPr>
        <w:snapToGrid w:val="0"/>
        <w:spacing w:line="580" w:lineRule="exact"/>
        <w:ind w:firstLine="630"/>
        <w:rPr>
          <w:rFonts w:eastAsia="仿宋_GB2312"/>
          <w:sz w:val="32"/>
          <w:szCs w:val="32"/>
        </w:rPr>
      </w:pPr>
      <w:r>
        <w:rPr>
          <w:rFonts w:hint="eastAsia" w:ascii="黑体" w:hAnsi="黑体" w:eastAsia="黑体"/>
          <w:sz w:val="32"/>
          <w:szCs w:val="32"/>
        </w:rPr>
        <w:t xml:space="preserve">第十八条  </w:t>
      </w:r>
      <w:r>
        <w:rPr>
          <w:rFonts w:hint="eastAsia" w:eastAsia="仿宋_GB2312"/>
          <w:sz w:val="32"/>
          <w:szCs w:val="32"/>
        </w:rPr>
        <w:t>评选委员会</w:t>
      </w:r>
      <w:r>
        <w:rPr>
          <w:rFonts w:eastAsia="仿宋_GB2312"/>
          <w:sz w:val="32"/>
          <w:szCs w:val="32"/>
        </w:rPr>
        <w:t>对重复报奖、拼凑“包装”、请托游说评委、跑奖要奖等行为实行一票否决；对造假、剽窃、侵占他人成果等行为“零容忍”，已授奖的撤销奖励；对违反学术道德、评审不公、行为失信的专家，取消评委资格。</w:t>
      </w:r>
    </w:p>
    <w:p>
      <w:pPr>
        <w:snapToGrid w:val="0"/>
        <w:spacing w:line="580" w:lineRule="exact"/>
        <w:rPr>
          <w:rFonts w:eastAsia="仿宋_GB2312"/>
          <w:sz w:val="32"/>
          <w:szCs w:val="32"/>
        </w:rPr>
      </w:pPr>
    </w:p>
    <w:p>
      <w:pPr>
        <w:snapToGrid w:val="0"/>
        <w:spacing w:line="580" w:lineRule="exact"/>
        <w:jc w:val="center"/>
        <w:rPr>
          <w:rFonts w:ascii="黑体" w:hAnsi="黑体" w:eastAsia="黑体"/>
          <w:sz w:val="32"/>
          <w:szCs w:val="32"/>
        </w:rPr>
      </w:pPr>
      <w:r>
        <w:rPr>
          <w:rFonts w:hint="eastAsia" w:ascii="黑体" w:hAnsi="黑体" w:eastAsia="黑体"/>
          <w:sz w:val="32"/>
          <w:szCs w:val="32"/>
        </w:rPr>
        <w:t>第七章  附则</w:t>
      </w:r>
    </w:p>
    <w:p>
      <w:pPr>
        <w:snapToGrid w:val="0"/>
        <w:spacing w:line="580" w:lineRule="exact"/>
        <w:ind w:firstLine="630"/>
        <w:rPr>
          <w:rFonts w:eastAsia="仿宋_GB2312"/>
          <w:bCs/>
          <w:smallCaps/>
          <w:sz w:val="32"/>
          <w:szCs w:val="32"/>
        </w:rPr>
      </w:pPr>
      <w:r>
        <w:rPr>
          <w:rFonts w:ascii="黑体" w:hAnsi="黑体" w:eastAsia="黑体"/>
          <w:bCs/>
          <w:smallCaps/>
          <w:sz w:val="32"/>
          <w:szCs w:val="32"/>
        </w:rPr>
        <w:t>第</w:t>
      </w:r>
      <w:r>
        <w:rPr>
          <w:rFonts w:hint="eastAsia" w:ascii="黑体" w:hAnsi="黑体" w:eastAsia="黑体"/>
          <w:bCs/>
          <w:smallCaps/>
          <w:sz w:val="32"/>
          <w:szCs w:val="32"/>
        </w:rPr>
        <w:t>十九</w:t>
      </w:r>
      <w:r>
        <w:rPr>
          <w:rFonts w:ascii="黑体" w:hAnsi="黑体" w:eastAsia="黑体"/>
          <w:bCs/>
          <w:smallCaps/>
          <w:sz w:val="32"/>
          <w:szCs w:val="32"/>
        </w:rPr>
        <w:t>条</w:t>
      </w:r>
      <w:r>
        <w:rPr>
          <w:rFonts w:hint="eastAsia" w:eastAsia="仿宋_GB2312"/>
          <w:sz w:val="32"/>
          <w:szCs w:val="32"/>
        </w:rPr>
        <w:t>评选活动</w:t>
      </w:r>
      <w:r>
        <w:rPr>
          <w:rFonts w:eastAsia="仿宋_GB2312"/>
          <w:bCs/>
          <w:smallCaps/>
          <w:sz w:val="32"/>
          <w:szCs w:val="32"/>
        </w:rPr>
        <w:t>由评选委员会解释。</w:t>
      </w:r>
    </w:p>
    <w:p>
      <w:pPr>
        <w:snapToGrid w:val="0"/>
        <w:spacing w:line="580" w:lineRule="exact"/>
        <w:ind w:firstLine="630"/>
        <w:rPr>
          <w:rFonts w:eastAsia="仿宋_GB2312"/>
          <w:bCs/>
          <w:smallCaps/>
          <w:sz w:val="32"/>
          <w:szCs w:val="32"/>
        </w:rPr>
      </w:pPr>
      <w:r>
        <w:rPr>
          <w:rFonts w:ascii="黑体" w:hAnsi="黑体" w:eastAsia="黑体"/>
          <w:bCs/>
          <w:smallCaps/>
          <w:sz w:val="32"/>
          <w:szCs w:val="32"/>
        </w:rPr>
        <w:t>第二十条</w:t>
      </w:r>
      <w:r>
        <w:rPr>
          <w:rFonts w:eastAsia="仿宋_GB2312"/>
          <w:bCs/>
          <w:smallCaps/>
          <w:sz w:val="32"/>
          <w:szCs w:val="32"/>
        </w:rPr>
        <w:t>本章程自</w:t>
      </w:r>
      <w:r>
        <w:rPr>
          <w:rFonts w:hint="eastAsia" w:eastAsia="仿宋_GB2312"/>
          <w:bCs/>
          <w:smallCaps/>
          <w:sz w:val="32"/>
          <w:szCs w:val="32"/>
        </w:rPr>
        <w:t>发布之日起</w:t>
      </w:r>
      <w:r>
        <w:rPr>
          <w:rFonts w:eastAsia="仿宋_GB2312"/>
          <w:bCs/>
          <w:smallCaps/>
          <w:sz w:val="32"/>
          <w:szCs w:val="32"/>
        </w:rPr>
        <w:t>施行</w:t>
      </w:r>
      <w:r>
        <w:rPr>
          <w:rFonts w:hint="eastAsia" w:eastAsia="仿宋_GB2312"/>
          <w:bCs/>
          <w:smallCaps/>
          <w:sz w:val="32"/>
          <w:szCs w:val="32"/>
        </w:rPr>
        <w:t>，有效期至2020年12月31日。期间如有调整，则</w:t>
      </w:r>
      <w:r>
        <w:rPr>
          <w:rFonts w:hint="eastAsia" w:eastAsia="仿宋_GB2312"/>
          <w:sz w:val="32"/>
          <w:szCs w:val="32"/>
        </w:rPr>
        <w:t>由东莞市高新技术产业协会依照相关流程完成并对外发布。</w:t>
      </w:r>
    </w:p>
    <w:p>
      <w:pPr>
        <w:spacing w:line="540" w:lineRule="exact"/>
        <w:rPr>
          <w:rFonts w:hint="eastAsia" w:ascii="仿宋" w:hAnsi="仿宋" w:eastAsia="仿宋" w:cs="仿宋"/>
          <w:sz w:val="30"/>
          <w:szCs w:val="30"/>
        </w:rPr>
      </w:pPr>
    </w:p>
    <w:p>
      <w:pPr>
        <w:spacing w:line="540" w:lineRule="exact"/>
        <w:rPr>
          <w:rFonts w:hint="eastAsia" w:ascii="仿宋" w:hAnsi="仿宋" w:eastAsia="仿宋" w:cs="仿宋"/>
          <w:sz w:val="30"/>
          <w:szCs w:val="30"/>
        </w:rPr>
      </w:pPr>
    </w:p>
    <w:p>
      <w:pPr>
        <w:spacing w:line="540" w:lineRule="exact"/>
        <w:rPr>
          <w:rFonts w:hint="eastAsia" w:ascii="仿宋" w:hAnsi="仿宋" w:eastAsia="仿宋" w:cs="仿宋"/>
          <w:sz w:val="30"/>
          <w:szCs w:val="30"/>
        </w:rPr>
      </w:pPr>
    </w:p>
    <w:p>
      <w:pPr>
        <w:spacing w:line="540" w:lineRule="exact"/>
        <w:rPr>
          <w:rFonts w:hint="eastAsia" w:ascii="仿宋" w:hAnsi="仿宋" w:eastAsia="仿宋" w:cs="仿宋"/>
          <w:sz w:val="30"/>
          <w:szCs w:val="30"/>
        </w:rPr>
      </w:pPr>
    </w:p>
    <w:p>
      <w:pPr>
        <w:spacing w:line="540" w:lineRule="exact"/>
        <w:rPr>
          <w:rFonts w:hint="eastAsia" w:ascii="仿宋" w:hAnsi="仿宋" w:eastAsia="仿宋" w:cs="仿宋"/>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华文新魏">
    <w:panose1 w:val="02010800040101010101"/>
    <w:charset w:val="86"/>
    <w:family w:val="auto"/>
    <w:pitch w:val="default"/>
    <w:sig w:usb0="00000001" w:usb1="080F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Cambria Math">
    <w:panose1 w:val="02040503050406030204"/>
    <w:charset w:val="01"/>
    <w:family w:val="roman"/>
    <w:pitch w:val="default"/>
    <w:sig w:usb0="E00002FF" w:usb1="420024FF" w:usb2="00000000" w:usb3="00000000" w:csb0="2000019F" w:csb1="00000000"/>
  </w:font>
  <w:font w:name="Tahoma">
    <w:panose1 w:val="020B0604030504040204"/>
    <w:charset w:val="00"/>
    <w:family w:val="swiss"/>
    <w:pitch w:val="default"/>
    <w:sig w:usb0="E1002EFF" w:usb1="C000605B" w:usb2="00000029" w:usb3="00000000" w:csb0="200101FF" w:csb1="20280000"/>
  </w:font>
  <w:font w:name="Heiti SC Light">
    <w:altName w:val="Arial Unicode MS"/>
    <w:panose1 w:val="02000000000000000000"/>
    <w:charset w:val="50"/>
    <w:family w:val="auto"/>
    <w:pitch w:val="default"/>
    <w:sig w:usb0="00000000" w:usb1="00000000" w:usb2="00000010" w:usb3="00000000" w:csb0="003E0000" w:csb1="00000000"/>
  </w:font>
  <w:font w:name="Arial Unicode MS">
    <w:panose1 w:val="020B0604020202020204"/>
    <w:charset w:val="50"/>
    <w:family w:val="auto"/>
    <w:pitch w:val="default"/>
    <w:sig w:usb0="FFFFFFFF" w:usb1="E9FFFFFF" w:usb2="0000003F" w:usb3="00000000" w:csb0="603F01FF" w:csb1="FFFF0000"/>
  </w:font>
  <w:font w:name="Calibri">
    <w:panose1 w:val="020F0502020204030204"/>
    <w:charset w:val="86"/>
    <w:family w:val="swiss"/>
    <w:pitch w:val="default"/>
    <w:sig w:usb0="E10002FF" w:usb1="4000ACFF" w:usb2="00000009" w:usb3="00000000" w:csb0="2000019F" w:csb1="00000000"/>
  </w:font>
  <w:font w:name="微软雅黑">
    <w:panose1 w:val="020B0503020204020204"/>
    <w:charset w:val="34"/>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SimSun-ExtB">
    <w:panose1 w:val="02010609060101010101"/>
    <w:charset w:val="34"/>
    <w:family w:val="modern"/>
    <w:pitch w:val="default"/>
    <w:sig w:usb0="00000001" w:usb1="02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Arail">
    <w:altName w:val="Arial Unicode MS"/>
    <w:panose1 w:val="00000000000000000000"/>
    <w:charset w:val="00"/>
    <w:family w:val="auto"/>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Helvetica Neu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Franklin Gothic Medium">
    <w:panose1 w:val="020B0603020102020204"/>
    <w:charset w:val="00"/>
    <w:family w:val="auto"/>
    <w:pitch w:val="default"/>
    <w:sig w:usb0="00000287" w:usb1="00000000" w:usb2="00000000" w:usb3="00000000" w:csb0="2000009F" w:csb1="DFD70000"/>
  </w:font>
  <w:font w:name="方正兰亭超细黑简体">
    <w:panose1 w:val="02000000000000000000"/>
    <w:charset w:val="86"/>
    <w:family w:val="auto"/>
    <w:pitch w:val="default"/>
    <w:sig w:usb0="00000001" w:usb1="08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Meiryo">
    <w:panose1 w:val="020B0604030504040204"/>
    <w:charset w:val="80"/>
    <w:family w:val="swiss"/>
    <w:pitch w:val="default"/>
    <w:sig w:usb0="E10102FF" w:usb1="EAC7FFFF" w:usb2="00010012" w:usb3="00000000" w:csb0="6002009F" w:csb1="DFD70000"/>
  </w:font>
  <w:font w:name="仿宋">
    <w:panose1 w:val="02010609060101010101"/>
    <w:charset w:val="34"/>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Perpetua">
    <w:panose1 w:val="02020502060401020303"/>
    <w:charset w:val="00"/>
    <w:family w:val="roman"/>
    <w:pitch w:val="default"/>
    <w:sig w:usb0="00000003" w:usb1="00000000" w:usb2="00000000" w:usb3="00000000" w:csb0="00000001" w:csb1="00000000"/>
  </w:font>
  <w:font w:name="Franklin Gothic Book">
    <w:panose1 w:val="020B0503020102020204"/>
    <w:charset w:val="00"/>
    <w:family w:val="roman"/>
    <w:pitch w:val="default"/>
    <w:sig w:usb0="00000287" w:usb1="00000000" w:usb2="00000000" w:usb3="00000000" w:csb0="2000009F" w:csb1="DFD70000"/>
  </w:font>
  <w:font w:name="ArialMT">
    <w:altName w:val="宋体"/>
    <w:panose1 w:val="00000000000000000000"/>
    <w:charset w:val="86"/>
    <w:family w:val="auto"/>
    <w:pitch w:val="default"/>
    <w:sig w:usb0="00000000" w:usb1="00000000" w:usb2="00000000" w:usb3="00000000" w:csb0="00040000" w:csb1="00000000"/>
  </w:font>
  <w:font w:name="AdobeHeitiStd-Regular">
    <w:altName w:val="宋体"/>
    <w:panose1 w:val="00000000000000000000"/>
    <w:charset w:val="86"/>
    <w:family w:val="auto"/>
    <w:pitch w:val="default"/>
    <w:sig w:usb0="00000000" w:usb1="00000000" w:usb2="00000000" w:usb3="00000000" w:csb0="00040000" w:csb1="00000000"/>
  </w:font>
  <w:font w:name="文鼎谁的字体">
    <w:altName w:val="宋体"/>
    <w:panose1 w:val="020B060201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SSJ-PK74820000001-Identity-H">
    <w:altName w:val="宋体"/>
    <w:panose1 w:val="00000000000000000000"/>
    <w:charset w:val="86"/>
    <w:family w:val="auto"/>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 w:name="华康简标题宋">
    <w:altName w:val="宋体"/>
    <w:panose1 w:val="02010609000101010101"/>
    <w:charset w:val="86"/>
    <w:family w:val="modern"/>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华康楷体W5-A">
    <w:altName w:val="宋体"/>
    <w:panose1 w:val="1A454350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Courier New">
    <w:panose1 w:val="02070309020205020404"/>
    <w:charset w:val="4D"/>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造字工房朗倩（非商用）细体">
    <w:altName w:val="宋体"/>
    <w:panose1 w:val="00000000000000000000"/>
    <w:charset w:val="86"/>
    <w:family w:val="auto"/>
    <w:pitch w:val="default"/>
    <w:sig w:usb0="00000000" w:usb1="00000000" w:usb2="00000000" w:usb3="00000000" w:csb0="00040001" w:csb1="00000000"/>
  </w:font>
  <w:font w:name="DengXian">
    <w:altName w:val="宋体"/>
    <w:panose1 w:val="02010600030101010101"/>
    <w:charset w:val="86"/>
    <w:family w:val="script"/>
    <w:pitch w:val="default"/>
    <w:sig w:usb0="00000000" w:usb1="00000000" w:usb2="00000016" w:usb3="00000000" w:csb0="0004000F" w:csb1="00000000"/>
  </w:font>
  <w:font w:name="DengXian Light">
    <w:altName w:val="宋体"/>
    <w:panose1 w:val="02010600030101010101"/>
    <w:charset w:val="86"/>
    <w:family w:val="script"/>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XinGothic-SinaWeibo">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Dotum">
    <w:panose1 w:val="020B0600000101010101"/>
    <w:charset w:val="81"/>
    <w:family w:val="swiss"/>
    <w:pitch w:val="default"/>
    <w:sig w:usb0="B00002AF" w:usb1="69D77CFB" w:usb2="00000030" w:usb3="00000000" w:csb0="4008009F" w:csb1="DFD70000"/>
  </w:font>
  <w:font w:name="叶根友毛笔行书2.0版">
    <w:altName w:val="宋体"/>
    <w:panose1 w:val="02010601030101010101"/>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96CE3"/>
    <w:rsid w:val="09196CE3"/>
    <w:rsid w:val="1E57629C"/>
    <w:rsid w:val="4943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7"/>
    <w:semiHidden/>
    <w:unhideWhenUsed/>
    <w:qFormat/>
    <w:uiPriority w:val="0"/>
    <w:pPr>
      <w:keepNext/>
      <w:keepLines/>
      <w:spacing w:before="260" w:beforeLines="0" w:beforeAutospacing="0" w:after="260" w:afterLines="0" w:afterAutospacing="0" w:line="413" w:lineRule="auto"/>
      <w:ind w:firstLine="880" w:firstLineChars="200"/>
      <w:jc w:val="left"/>
      <w:outlineLvl w:val="1"/>
    </w:pPr>
    <w:rPr>
      <w:rFonts w:ascii="Arial" w:hAnsi="Arial" w:eastAsia="仿宋"/>
      <w:sz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customStyle="1" w:styleId="6">
    <w:name w:val="简介模板"/>
    <w:basedOn w:val="1"/>
    <w:qFormat/>
    <w:uiPriority w:val="0"/>
    <w:pPr>
      <w:spacing w:line="240" w:lineRule="auto"/>
      <w:jc w:val="center"/>
    </w:pPr>
    <w:rPr>
      <w:rFonts w:eastAsia="微软雅黑" w:asciiTheme="minorAscii" w:hAnsiTheme="minorAscii"/>
      <w:sz w:val="44"/>
    </w:rPr>
  </w:style>
  <w:style w:type="character" w:customStyle="1" w:styleId="7">
    <w:name w:val="标题 2 Char"/>
    <w:link w:val="2"/>
    <w:qFormat/>
    <w:uiPriority w:val="0"/>
    <w:rPr>
      <w:rFonts w:ascii="Arial" w:hAnsi="Arial"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2018-02-02T06:37:00Z</dcterms:created>
  <dc:creator>貓18664045793</dc:creator>
  <cp:lastModifiedBy>貓18664045793</cp:lastModifiedBy>
  <dcterms:modified xsi:type="dcterms:W3CDTF">2018-02-02T06:38:12Z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