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hAnsi="华康简标题宋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华康简标题宋" w:hAnsi="华康简标题宋"/>
          <w:color w:val="000000"/>
          <w:sz w:val="40"/>
          <w:szCs w:val="40"/>
        </w:rPr>
        <w:t>东莞市高新技术产业协会</w:t>
      </w:r>
      <w:r>
        <w:rPr>
          <w:rFonts w:hint="eastAsia" w:ascii="华康简标题宋" w:hAnsi="华康简标题宋"/>
          <w:color w:val="000000"/>
          <w:sz w:val="40"/>
          <w:szCs w:val="40"/>
          <w:lang w:val="en-US" w:eastAsia="zh-CN"/>
        </w:rPr>
        <w:t>高新技术企业</w:t>
      </w:r>
      <w:r>
        <w:rPr>
          <w:rFonts w:hint="eastAsia" w:ascii="华康简标题宋" w:hAnsi="华康简标题宋"/>
          <w:color w:val="000000"/>
          <w:sz w:val="40"/>
          <w:szCs w:val="40"/>
        </w:rPr>
        <w:t>全流程全链条服务委托辅导机构</w:t>
      </w:r>
      <w:r>
        <w:rPr>
          <w:rFonts w:hint="eastAsia" w:ascii="华康简标题宋" w:hAnsi="华康简标题宋"/>
          <w:color w:val="000000"/>
          <w:sz w:val="40"/>
          <w:szCs w:val="40"/>
          <w:lang w:val="en-US" w:eastAsia="zh-CN"/>
        </w:rPr>
        <w:t>考核</w:t>
      </w:r>
      <w:r>
        <w:rPr>
          <w:rFonts w:hint="eastAsia" w:ascii="华康简标题宋" w:hAnsi="华康简标题宋"/>
          <w:color w:val="000000"/>
          <w:sz w:val="40"/>
          <w:szCs w:val="40"/>
        </w:rPr>
        <w:t>评分</w:t>
      </w:r>
      <w:r>
        <w:rPr>
          <w:rFonts w:ascii="华康简标题宋" w:hAnsi="华康简标题宋"/>
          <w:color w:val="000000"/>
          <w:sz w:val="40"/>
          <w:szCs w:val="40"/>
        </w:rPr>
        <w:t>表</w:t>
      </w:r>
    </w:p>
    <w:p>
      <w:pPr>
        <w:spacing w:line="273" w:lineRule="auto"/>
        <w:ind w:firstLine="482" w:firstLineChars="200"/>
        <w:rPr>
          <w:rFonts w:hint="eastAsia" w:ascii="仿宋_GB2312" w:hAnsi="宋体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委托</w:t>
      </w: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辅导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机构名称：</w:t>
      </w:r>
      <w:r>
        <w:rPr>
          <w:rFonts w:hint="eastAsia" w:ascii="仿宋_GB2312" w:hAnsi="宋体" w:eastAsia="仿宋_GB2312"/>
          <w:b/>
          <w:bCs/>
          <w:sz w:val="24"/>
          <w:szCs w:val="24"/>
          <w:u w:val="single"/>
        </w:rPr>
        <w:t xml:space="preserve">                                         </w:t>
      </w:r>
    </w:p>
    <w:p>
      <w:pPr>
        <w:spacing w:line="273" w:lineRule="auto"/>
        <w:ind w:firstLine="482" w:firstLineChars="200"/>
        <w:rPr>
          <w:rFonts w:hint="eastAsia" w:ascii="仿宋_GB2312" w:hAnsi="宋体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结对企业名称：</w:t>
      </w:r>
      <w:r>
        <w:rPr>
          <w:rFonts w:hint="eastAsia" w:ascii="仿宋_GB2312" w:hAnsi="宋体" w:eastAsia="仿宋_GB2312"/>
          <w:b/>
          <w:bCs/>
          <w:sz w:val="24"/>
          <w:szCs w:val="24"/>
          <w:u w:val="single"/>
        </w:rPr>
        <w:t xml:space="preserve">                                             </w:t>
      </w:r>
    </w:p>
    <w:p>
      <w:pPr>
        <w:spacing w:line="273" w:lineRule="auto"/>
        <w:ind w:firstLine="482" w:firstLineChars="200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一、评分标准</w:t>
      </w:r>
    </w:p>
    <w:p>
      <w:pPr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委托辅导机构自评总分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含加分项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/>
          <w:sz w:val="24"/>
          <w:szCs w:val="24"/>
        </w:rPr>
        <w:t>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  <w:szCs w:val="24"/>
        </w:rPr>
        <w:t>0分，企业评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价总</w:t>
      </w:r>
      <w:r>
        <w:rPr>
          <w:rFonts w:hint="eastAsia" w:ascii="仿宋_GB2312" w:hAnsi="宋体" w:eastAsia="仿宋_GB2312"/>
          <w:sz w:val="24"/>
          <w:szCs w:val="24"/>
        </w:rPr>
        <w:t>分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含加分项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/>
          <w:sz w:val="24"/>
          <w:szCs w:val="24"/>
        </w:rPr>
        <w:t>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0分，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机构自评与企业评价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总分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含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加分项）为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120分，</w:t>
      </w:r>
      <w:r>
        <w:rPr>
          <w:rFonts w:hint="eastAsia" w:ascii="仿宋_GB2312" w:hAnsi="宋体" w:eastAsia="仿宋_GB2312"/>
          <w:sz w:val="24"/>
          <w:szCs w:val="24"/>
        </w:rPr>
        <w:t>达9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分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及以上</w:t>
      </w:r>
      <w:r>
        <w:rPr>
          <w:rFonts w:hint="eastAsia" w:ascii="仿宋_GB2312" w:hAnsi="宋体" w:eastAsia="仿宋_GB2312"/>
          <w:sz w:val="24"/>
          <w:szCs w:val="24"/>
        </w:rPr>
        <w:t>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考核评价</w:t>
      </w:r>
      <w:r>
        <w:rPr>
          <w:rFonts w:hint="eastAsia" w:ascii="仿宋_GB2312" w:hAnsi="宋体" w:eastAsia="仿宋_GB2312"/>
          <w:sz w:val="24"/>
          <w:szCs w:val="24"/>
        </w:rPr>
        <w:t>优秀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服务机构</w:t>
      </w:r>
      <w:r>
        <w:rPr>
          <w:rFonts w:hint="eastAsia" w:ascii="仿宋_GB2312" w:hAnsi="宋体" w:eastAsia="仿宋_GB2312"/>
          <w:sz w:val="24"/>
          <w:szCs w:val="24"/>
        </w:rPr>
        <w:t>，达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80</w:t>
      </w:r>
      <w:r>
        <w:rPr>
          <w:rFonts w:hint="eastAsia" w:ascii="仿宋_GB2312" w:hAnsi="宋体" w:eastAsia="仿宋_GB2312"/>
          <w:sz w:val="24"/>
          <w:szCs w:val="24"/>
        </w:rPr>
        <w:t>分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及以上</w:t>
      </w:r>
      <w:r>
        <w:rPr>
          <w:rFonts w:hint="eastAsia" w:ascii="仿宋_GB2312" w:hAnsi="宋体" w:eastAsia="仿宋_GB2312"/>
          <w:sz w:val="24"/>
          <w:szCs w:val="24"/>
        </w:rPr>
        <w:t>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考核评价</w:t>
      </w:r>
      <w:r>
        <w:rPr>
          <w:rFonts w:hint="eastAsia" w:ascii="仿宋_GB2312" w:hAnsi="宋体" w:eastAsia="仿宋_GB2312"/>
          <w:sz w:val="24"/>
          <w:szCs w:val="24"/>
        </w:rPr>
        <w:t>合格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服务机构</w:t>
      </w:r>
      <w:r>
        <w:rPr>
          <w:rFonts w:hint="eastAsia" w:ascii="仿宋_GB2312" w:hAnsi="宋体" w:eastAsia="仿宋_GB2312"/>
          <w:sz w:val="24"/>
          <w:szCs w:val="24"/>
        </w:rPr>
        <w:t>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并将分别授予相关牌匾证书；</w:t>
      </w:r>
      <w:r>
        <w:rPr>
          <w:rFonts w:hint="eastAsia" w:ascii="仿宋_GB2312" w:hAnsi="宋体" w:eastAsia="仿宋_GB2312"/>
          <w:sz w:val="24"/>
          <w:szCs w:val="24"/>
        </w:rPr>
        <w:t>不满80分为不合格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将被取消委托辅导机构的资格。</w:t>
      </w:r>
    </w:p>
    <w:p>
      <w:pPr>
        <w:ind w:firstLine="482" w:firstLineChars="200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二、委托辅导机构自评（总分</w:t>
      </w: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0分）</w:t>
      </w:r>
    </w:p>
    <w:tbl>
      <w:tblPr>
        <w:tblStyle w:val="2"/>
        <w:tblW w:w="5322" w:type="pct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1"/>
        <w:gridCol w:w="5115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评价内容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/>
              <w:spacing w:line="240" w:lineRule="exact"/>
              <w:jc w:val="center"/>
              <w:outlineLvl w:val="0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自评</w:t>
            </w:r>
            <w:r>
              <w:rPr>
                <w:rFonts w:hint="eastAsia" w:ascii="宋体" w:hAnsi="宋体"/>
                <w:b/>
                <w:bCs/>
                <w:color w:val="00000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单位重视程度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1、机构入驻了“创优优”服务平台，组建了由机构负责人牵头的全链条全流程服务实施工作小组，机构负责人与结对企业负责人进行了沟通，得10分；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2、机构入驻了“创优优”服务平台，组建了由机构负责人牵头的实施工作小组，机构负责人与结对企业负责人未进行沟通，得7分；</w:t>
            </w:r>
          </w:p>
          <w:p>
            <w:pPr>
              <w:spacing w:line="240" w:lineRule="exact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3、机构入驻了“创优优”服务平台，未组建由机构负责人牵头的实施工作小组，机构负责人与结对企业负责人未进行沟通，得5分；</w:t>
            </w:r>
          </w:p>
          <w:p>
            <w:pPr>
              <w:spacing w:line="240" w:lineRule="exact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lang w:val="en-US" w:eastAsia="zh-CN"/>
              </w:rPr>
              <w:t>4、以上几种情形都不具备，得0分。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b/>
                <w:bCs/>
                <w:color w:val="FF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服务内容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</w:rPr>
              <w:t>服务对接项目超过3项并获得企业认可，得20分，项目名称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</w:rPr>
              <w:t>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</w:rPr>
              <w:t>服务对接项目超过2项并获得企业认可，得15分，项目名称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</w:rPr>
              <w:t>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</w:rPr>
              <w:t>服务对接项目1项并获得企业认可，得10分，项目名称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</w:rPr>
              <w:t>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/>
              </w:rPr>
              <w:t>未提供任何服务，得0分。</w:t>
            </w:r>
          </w:p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</w:rPr>
              <w:t>（服务项目包括</w:t>
            </w:r>
            <w:r>
              <w:rPr>
                <w:rFonts w:hint="eastAsia" w:ascii="仿宋_GB2312" w:hAnsi="宋体" w:eastAsia="仿宋_GB2312"/>
                <w:lang w:eastAsia="zh-CN"/>
              </w:rPr>
              <w:t>评分</w:t>
            </w:r>
            <w:r>
              <w:rPr>
                <w:rFonts w:hint="eastAsia" w:ascii="仿宋_GB2312" w:hAnsi="宋体" w:eastAsia="仿宋_GB2312"/>
              </w:rPr>
              <w:t>表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下所</w:t>
            </w:r>
            <w:r>
              <w:rPr>
                <w:rFonts w:hint="eastAsia" w:ascii="仿宋_GB2312" w:hAnsi="宋体" w:eastAsia="仿宋_GB2312"/>
              </w:rPr>
              <w:t>备注列举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的项目</w:t>
            </w:r>
            <w:r>
              <w:rPr>
                <w:rFonts w:hint="eastAsia" w:ascii="仿宋_GB2312" w:hAnsi="宋体" w:eastAsia="仿宋_GB2312"/>
              </w:rPr>
              <w:t>及其他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自定项目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解决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痛点难点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找到了企业创新发展的痛点难点，并</w:t>
            </w:r>
            <w:r>
              <w:rPr>
                <w:rFonts w:hint="eastAsia" w:ascii="仿宋_GB2312" w:hAnsi="宋体" w:eastAsia="仿宋_GB2312"/>
              </w:rPr>
              <w:t>已</w:t>
            </w:r>
            <w:r>
              <w:rPr>
                <w:rFonts w:hint="eastAsia" w:ascii="仿宋_GB2312" w:hAnsi="宋体" w:eastAsia="仿宋_GB2312"/>
                <w:lang w:eastAsia="zh-CN"/>
              </w:rPr>
              <w:t>为</w:t>
            </w:r>
            <w:r>
              <w:rPr>
                <w:rFonts w:hint="eastAsia" w:ascii="仿宋_GB2312" w:hAnsi="宋体" w:eastAsia="仿宋_GB2312"/>
              </w:rPr>
              <w:t>企业制定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了</w:t>
            </w:r>
            <w:r>
              <w:rPr>
                <w:rFonts w:hint="eastAsia" w:ascii="仿宋_GB2312" w:hAnsi="宋体" w:eastAsia="仿宋_GB2312"/>
              </w:rPr>
              <w:t>痛点难点的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解决</w:t>
            </w:r>
            <w:r>
              <w:rPr>
                <w:rFonts w:hint="eastAsia" w:ascii="仿宋_GB2312" w:hAnsi="宋体" w:eastAsia="仿宋_GB2312"/>
              </w:rPr>
              <w:t>方案，得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</w:rPr>
              <w:t>分，企业痛点难点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及解决方案</w:t>
            </w:r>
            <w:r>
              <w:rPr>
                <w:rFonts w:hint="eastAsia" w:ascii="仿宋_GB2312" w:hAnsi="宋体" w:eastAsia="仿宋_GB2312"/>
              </w:rPr>
              <w:t>是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找到了企业创新发展的痛点难点，未</w:t>
            </w:r>
            <w:r>
              <w:rPr>
                <w:rFonts w:hint="eastAsia" w:ascii="仿宋_GB2312" w:hAnsi="宋体" w:eastAsia="仿宋_GB2312"/>
                <w:lang w:eastAsia="zh-CN"/>
              </w:rPr>
              <w:t>为</w:t>
            </w:r>
            <w:r>
              <w:rPr>
                <w:rFonts w:hint="eastAsia" w:ascii="仿宋_GB2312" w:hAnsi="宋体" w:eastAsia="仿宋_GB2312"/>
              </w:rPr>
              <w:t>企业制定痛点难点的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解决</w:t>
            </w:r>
            <w:r>
              <w:rPr>
                <w:rFonts w:hint="eastAsia" w:ascii="仿宋_GB2312" w:hAnsi="宋体" w:eastAsia="仿宋_GB2312"/>
              </w:rPr>
              <w:t>方案，得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</w:rPr>
              <w:t>0分，企业痛点难点是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</w:rPr>
              <w:t>不清楚企业痛点难点，没有开展相关服务，得0分。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创新要素高效配置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u w:val="single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</w:rPr>
              <w:t>帮助企业在创新链、产业链、资金链、政策链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对创</w:t>
            </w:r>
            <w:r>
              <w:rPr>
                <w:rFonts w:hint="eastAsia" w:ascii="仿宋_GB2312" w:hAnsi="宋体" w:eastAsia="仿宋_GB2312"/>
              </w:rPr>
              <w:t>新要素进行高效配置，得10分，简单说明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u w:val="none"/>
              </w:rPr>
              <w:t>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</w:rPr>
              <w:t>未有效配置，但已经开展相关工作，得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</w:rPr>
              <w:t>分，简单说明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u w:val="none"/>
                <w:lang w:eastAsia="zh-CN"/>
              </w:rPr>
              <w:t>；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加分项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在全流程全链条服务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上</w:t>
            </w:r>
            <w:r>
              <w:rPr>
                <w:rFonts w:hint="eastAsia" w:ascii="仿宋_GB2312" w:hAnsi="宋体" w:eastAsia="仿宋_GB2312"/>
              </w:rPr>
              <w:t>为结对企业做出的其他突出服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务及</w:t>
            </w:r>
            <w:r>
              <w:rPr>
                <w:rFonts w:hint="eastAsia" w:ascii="仿宋_GB2312" w:hAnsi="宋体" w:eastAsia="仿宋_GB2312"/>
              </w:rPr>
              <w:t>贡献，简单说明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</w:rPr>
              <w:t>）。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>
      <w:r>
        <w:t xml:space="preserve"> </w:t>
      </w:r>
      <w:r>
        <w:br w:type="page"/>
      </w:r>
    </w:p>
    <w:p>
      <w:pPr>
        <w:jc w:val="left"/>
        <w:outlineLvl w:val="0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5"/>
          <w:szCs w:val="25"/>
        </w:rPr>
        <w:t xml:space="preserve">   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三、结对企业评价（总分</w:t>
      </w: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0分）</w:t>
      </w:r>
    </w:p>
    <w:tbl>
      <w:tblPr>
        <w:tblStyle w:val="2"/>
        <w:tblW w:w="5310" w:type="pct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5"/>
        <w:gridCol w:w="5103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</w:rPr>
              <w:t>评价内容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/>
              <w:spacing w:line="240" w:lineRule="exact"/>
              <w:jc w:val="center"/>
              <w:outlineLvl w:val="0"/>
              <w:rPr>
                <w:rFonts w:hint="default" w:ascii="黑体" w:hAnsi="黑体" w:eastAsia="黑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lang w:val="en-US" w:eastAsia="zh-CN"/>
              </w:rPr>
              <w:t>企业评分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服务满意度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</w:rPr>
              <w:t>认可服务对接项目超过3项，得20分；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</w:rPr>
              <w:t>认可服务对接项目超过2项，得15分；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</w:rPr>
              <w:t>认可服务对接项目1项，得10分；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/>
              </w:rPr>
              <w:t>未提供任何服务，得0分。</w:t>
            </w:r>
          </w:p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</w:rPr>
              <w:t>（服务项目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为委托辅导机构在评价表所列出的项目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痛点难点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</w:rPr>
              <w:t>痛点难点在委托机构的协助下得以解决，得10分；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</w:rPr>
              <w:t>不存在痛点难点，对机构服务满意得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</w:rPr>
              <w:t>分；</w:t>
            </w:r>
          </w:p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/>
              </w:rPr>
              <w:t>痛点难点未得到任何解决，得0分。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创新要素高效配置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</w:rPr>
              <w:t>经机构协助，获得创新链、产业链、资金链、政策链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/>
              </w:rPr>
              <w:t>创新要素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有效</w:t>
            </w:r>
            <w:r>
              <w:rPr>
                <w:rFonts w:hint="eastAsia" w:ascii="仿宋_GB2312" w:hAnsi="宋体" w:eastAsia="仿宋_GB2312"/>
              </w:rPr>
              <w:t>配置，得10分</w:t>
            </w:r>
            <w:r>
              <w:rPr>
                <w:rFonts w:hint="eastAsia" w:ascii="仿宋_GB2312" w:hAnsi="宋体" w:eastAsia="仿宋_GB2312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</w:rPr>
              <w:t>未有任何配置，但已经开展相关工作，得5分。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加分项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对委托服务机构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做出</w:t>
            </w:r>
            <w:r>
              <w:rPr>
                <w:rFonts w:hint="eastAsia" w:ascii="仿宋_GB2312" w:hAnsi="宋体" w:eastAsia="仿宋_GB2312"/>
              </w:rPr>
              <w:t>其他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突出服务及贡献进行</w:t>
            </w:r>
            <w:r>
              <w:rPr>
                <w:rFonts w:hint="eastAsia" w:ascii="仿宋_GB2312" w:hAnsi="宋体" w:eastAsia="仿宋_GB2312"/>
              </w:rPr>
              <w:t>评价</w:t>
            </w:r>
            <w:r>
              <w:rPr>
                <w:rFonts w:hint="eastAsia" w:ascii="仿宋_GB2312" w:hAnsi="宋体" w:eastAsia="仿宋_GB2312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好，得10分；较好，得8分；一般，得5分；差，得0分</w:t>
            </w:r>
            <w:r>
              <w:rPr>
                <w:rFonts w:hint="eastAsia" w:ascii="仿宋_GB2312" w:hAnsi="宋体" w:eastAsia="仿宋_GB2312"/>
              </w:rPr>
              <w:t>。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>
      <w:pPr>
        <w:jc w:val="left"/>
        <w:outlineLvl w:val="0"/>
        <w:rPr>
          <w:rFonts w:hint="eastAsia"/>
        </w:rPr>
      </w:pPr>
    </w:p>
    <w:p>
      <w:pPr>
        <w:jc w:val="left"/>
        <w:outlineLvl w:val="0"/>
        <w:rPr>
          <w:rFonts w:hint="eastAsia"/>
        </w:rPr>
      </w:pP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备注：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服务内容包括，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知识产权服务、科研管理服务、财税法律服务、企业管理咨询服务、政府资助申报服务、资质认定服务（高企、高品等）、产品设计服务、检验检测服务、清洁生产服务、消防安全服务、鉴定评估服务、人才培养与引进服务、企业共享大学服务、产学研对接服务、银企对接服务、科技保险服务、科技担保服务、产业投资服务、上市辅导服务、兼并重组服务、科研仪器设备共享服务、供需对接服务、国际化对接服务、厂房空间服务、科技特派员服务、技术合同登记服务、展会推广服务、两化融合服务、父母学堂服务、健康科学服务、其他服务等。</w:t>
      </w:r>
    </w:p>
    <w:p>
      <w:pPr>
        <w:jc w:val="left"/>
        <w:outlineLvl w:val="0"/>
        <w:rPr>
          <w:rFonts w:hint="eastAsia"/>
        </w:rPr>
      </w:pPr>
    </w:p>
    <w:p>
      <w:pPr>
        <w:jc w:val="left"/>
        <w:outlineLvl w:val="0"/>
        <w:rPr>
          <w:rFonts w:hint="eastAsia"/>
        </w:rPr>
      </w:pPr>
    </w:p>
    <w:p>
      <w:pPr>
        <w:jc w:val="left"/>
        <w:outlineLvl w:val="0"/>
        <w:rPr>
          <w:rFonts w:hint="eastAsia"/>
        </w:rPr>
      </w:pPr>
    </w:p>
    <w:p>
      <w:pPr>
        <w:jc w:val="left"/>
        <w:outlineLvl w:val="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委托辅导机构盖章             结对企业盖章         协会监督人签字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EDC0BF"/>
    <w:multiLevelType w:val="singleLevel"/>
    <w:tmpl w:val="D7EDC0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A"/>
    <w:rsid w:val="0021088A"/>
    <w:rsid w:val="00393265"/>
    <w:rsid w:val="005D5C71"/>
    <w:rsid w:val="00603CDF"/>
    <w:rsid w:val="007777B0"/>
    <w:rsid w:val="007D653E"/>
    <w:rsid w:val="009C31AA"/>
    <w:rsid w:val="02964C74"/>
    <w:rsid w:val="04720D1C"/>
    <w:rsid w:val="050F251D"/>
    <w:rsid w:val="082B3194"/>
    <w:rsid w:val="0B9D0FA0"/>
    <w:rsid w:val="0C200A1C"/>
    <w:rsid w:val="103E66A2"/>
    <w:rsid w:val="18B670AD"/>
    <w:rsid w:val="1BFA12B0"/>
    <w:rsid w:val="1C9B0953"/>
    <w:rsid w:val="1D4C4C4F"/>
    <w:rsid w:val="1EB5248A"/>
    <w:rsid w:val="1EEF1CC1"/>
    <w:rsid w:val="20AB0754"/>
    <w:rsid w:val="22792332"/>
    <w:rsid w:val="245019C4"/>
    <w:rsid w:val="245B4694"/>
    <w:rsid w:val="24C12C64"/>
    <w:rsid w:val="24C5005A"/>
    <w:rsid w:val="26706BDF"/>
    <w:rsid w:val="26AA0FDE"/>
    <w:rsid w:val="27D2531C"/>
    <w:rsid w:val="2D8111DE"/>
    <w:rsid w:val="2E906C09"/>
    <w:rsid w:val="317F0A5C"/>
    <w:rsid w:val="323C2EB1"/>
    <w:rsid w:val="37B44732"/>
    <w:rsid w:val="38691C96"/>
    <w:rsid w:val="39F166D1"/>
    <w:rsid w:val="3AC04AE3"/>
    <w:rsid w:val="3C6E7152"/>
    <w:rsid w:val="3C901D9B"/>
    <w:rsid w:val="3FEE3187"/>
    <w:rsid w:val="402259FC"/>
    <w:rsid w:val="40B747D7"/>
    <w:rsid w:val="44A97287"/>
    <w:rsid w:val="4CD72581"/>
    <w:rsid w:val="4D2B6684"/>
    <w:rsid w:val="4DBD2312"/>
    <w:rsid w:val="514477A4"/>
    <w:rsid w:val="52006EAD"/>
    <w:rsid w:val="562F4703"/>
    <w:rsid w:val="59B61EB9"/>
    <w:rsid w:val="59E97D70"/>
    <w:rsid w:val="5EFE2897"/>
    <w:rsid w:val="5F3C16E2"/>
    <w:rsid w:val="63B72C74"/>
    <w:rsid w:val="6438039F"/>
    <w:rsid w:val="64974897"/>
    <w:rsid w:val="65D3267F"/>
    <w:rsid w:val="694B29AA"/>
    <w:rsid w:val="6BD60BEA"/>
    <w:rsid w:val="6D692C5A"/>
    <w:rsid w:val="6E4B1F01"/>
    <w:rsid w:val="6F61412D"/>
    <w:rsid w:val="72AA5D07"/>
    <w:rsid w:val="78FE3E59"/>
    <w:rsid w:val="7A1A68C7"/>
    <w:rsid w:val="7C0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278</Words>
  <Characters>1588</Characters>
  <Lines>13</Lines>
  <Paragraphs>3</Paragraphs>
  <TotalTime>5</TotalTime>
  <ScaleCrop>false</ScaleCrop>
  <LinksUpToDate>false</LinksUpToDate>
  <CharactersWithSpaces>1863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2020-04-09T07:12:00Z</dcterms:created>
  <dc:creator>User</dc:creator>
  <cp:lastModifiedBy>郑芸</cp:lastModifiedBy>
  <dcterms:modified xsi:type="dcterms:W3CDTF">2020-04-14T08:39:37Z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