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华文中宋" w:eastAsia="黑体"/>
          <w:b/>
          <w:color w:val="FF0000"/>
          <w:spacing w:val="-40"/>
          <w:sz w:val="84"/>
          <w:szCs w:val="84"/>
        </w:rPr>
      </w:pPr>
      <w:r>
        <w:rPr>
          <w:rFonts w:hint="eastAsia"/>
        </w:rPr>
        <w:t xml:space="preserve"> </w:t>
      </w:r>
      <w:r>
        <w:rPr>
          <w:rFonts w:hint="eastAsia" w:ascii="黑体" w:hAnsi="华文中宋" w:eastAsia="黑体"/>
          <w:b/>
          <w:color w:val="FF0000"/>
          <w:spacing w:val="-40"/>
          <w:sz w:val="84"/>
          <w:szCs w:val="84"/>
        </w:rPr>
        <w:t>东莞市高新技术产业协会</w:t>
      </w:r>
    </w:p>
    <w:p>
      <w:pPr>
        <w:tabs>
          <w:tab w:val="left" w:pos="5040"/>
        </w:tabs>
        <w:rPr>
          <w:rFonts w:hint="eastAsia" w:ascii="宋体" w:hAnsi="宋体"/>
          <w:color w:val="FF0000"/>
          <w:sz w:val="18"/>
          <w:szCs w:val="18"/>
          <w:u w:val="thick"/>
        </w:rPr>
      </w:pPr>
      <w:r>
        <w:rPr>
          <w:rFonts w:hint="eastAsia" w:ascii="宋体" w:hAnsi="宋体"/>
          <w:color w:val="FF0000"/>
          <w:sz w:val="18"/>
          <w:szCs w:val="18"/>
          <w:u w:val="thick"/>
        </w:rPr>
        <w:t xml:space="preserve">                                                                                                                 </w:t>
      </w:r>
    </w:p>
    <w:p>
      <w:pPr>
        <w:jc w:val="center"/>
        <w:rPr>
          <w:rFonts w:hint="eastAsia" w:ascii="微软雅黑" w:hAnsi="微软雅黑" w:eastAsia="微软雅黑"/>
          <w:b/>
          <w:bCs/>
          <w:sz w:val="36"/>
          <w:szCs w:val="36"/>
        </w:rPr>
      </w:pPr>
    </w:p>
    <w:p>
      <w:pPr>
        <w:jc w:val="center"/>
        <w:rPr>
          <w:rFonts w:hint="eastAsia" w:ascii="微软雅黑" w:hAnsi="微软雅黑" w:eastAsia="微软雅黑"/>
          <w:b/>
          <w:bCs/>
          <w:sz w:val="36"/>
          <w:szCs w:val="36"/>
        </w:rPr>
      </w:pPr>
      <w:r>
        <w:rPr>
          <w:rFonts w:hint="eastAsia" w:ascii="微软雅黑" w:hAnsi="微软雅黑" w:eastAsia="微软雅黑"/>
          <w:b/>
          <w:bCs/>
          <w:sz w:val="36"/>
          <w:szCs w:val="36"/>
        </w:rPr>
        <w:t>东莞市高新技术产业协会</w:t>
      </w:r>
    </w:p>
    <w:p>
      <w:pPr>
        <w:jc w:val="center"/>
        <w:rPr>
          <w:rFonts w:ascii="微软雅黑" w:hAnsi="微软雅黑" w:eastAsia="微软雅黑"/>
          <w:b/>
          <w:bCs/>
          <w:sz w:val="36"/>
          <w:szCs w:val="36"/>
        </w:rPr>
      </w:pPr>
      <w:r>
        <w:rPr>
          <w:rFonts w:hint="eastAsia" w:ascii="微软雅黑" w:hAnsi="微软雅黑" w:eastAsia="微软雅黑"/>
          <w:b/>
          <w:bCs/>
          <w:sz w:val="36"/>
          <w:szCs w:val="36"/>
        </w:rPr>
        <w:t>秘书处</w:t>
      </w:r>
      <w:r>
        <w:rPr>
          <w:rFonts w:hint="eastAsia" w:ascii="微软雅黑" w:hAnsi="微软雅黑" w:eastAsia="微软雅黑"/>
          <w:b/>
          <w:bCs/>
          <w:sz w:val="36"/>
          <w:szCs w:val="36"/>
          <w:lang w:val="en-US" w:eastAsia="zh-CN"/>
        </w:rPr>
        <w:t>工作人员</w:t>
      </w:r>
      <w:r>
        <w:rPr>
          <w:rFonts w:hint="eastAsia" w:ascii="微软雅黑" w:hAnsi="微软雅黑" w:eastAsia="微软雅黑"/>
          <w:b/>
          <w:bCs/>
          <w:sz w:val="36"/>
          <w:szCs w:val="36"/>
        </w:rPr>
        <w:t>积分制绩效考核管理办法</w:t>
      </w:r>
    </w:p>
    <w:p>
      <w:pPr>
        <w:topLinePunct/>
        <w:rPr>
          <w:rFonts w:ascii="仿宋" w:hAnsi="仿宋" w:eastAsia="仿宋"/>
          <w:sz w:val="36"/>
          <w:szCs w:val="36"/>
        </w:rPr>
      </w:pPr>
      <w:r>
        <w:rPr>
          <w:rFonts w:hint="eastAsia" w:ascii="仿宋" w:hAnsi="仿宋" w:eastAsia="仿宋"/>
          <w:sz w:val="36"/>
          <w:szCs w:val="36"/>
        </w:rPr>
        <w:t xml:space="preserve">    </w:t>
      </w:r>
    </w:p>
    <w:p>
      <w:pPr>
        <w:topLinePunct/>
        <w:rPr>
          <w:rFonts w:ascii="仿宋" w:hAnsi="仿宋" w:eastAsia="仿宋"/>
          <w:sz w:val="32"/>
          <w:szCs w:val="32"/>
        </w:rPr>
      </w:pPr>
      <w:r>
        <w:rPr>
          <w:rFonts w:hint="eastAsia" w:ascii="仿宋" w:hAnsi="仿宋" w:eastAsia="仿宋"/>
          <w:sz w:val="32"/>
          <w:szCs w:val="32"/>
        </w:rPr>
        <w:t xml:space="preserve">    根据《东莞市高新技术产业协会（以下称协会）章程》的有关规定，为加强协会秘书处的管理，增强工作人员的工作责任，提升业务水平和工作效率，制定本办法。</w:t>
      </w:r>
    </w:p>
    <w:p>
      <w:pPr>
        <w:topLinePunct/>
        <w:rPr>
          <w:rFonts w:ascii="黑体" w:hAnsi="黑体" w:eastAsia="黑体"/>
          <w:sz w:val="32"/>
          <w:szCs w:val="32"/>
        </w:rPr>
      </w:pPr>
      <w:bookmarkStart w:id="0" w:name="_Toc9785"/>
      <w:r>
        <w:rPr>
          <w:rFonts w:hint="eastAsia" w:ascii="仿宋" w:hAnsi="仿宋" w:eastAsia="仿宋"/>
          <w:sz w:val="32"/>
          <w:szCs w:val="32"/>
        </w:rPr>
        <w:t xml:space="preserve">    </w:t>
      </w:r>
      <w:r>
        <w:rPr>
          <w:rFonts w:hint="eastAsia" w:ascii="黑体" w:hAnsi="黑体" w:eastAsia="黑体"/>
          <w:sz w:val="32"/>
          <w:szCs w:val="32"/>
        </w:rPr>
        <w:t>一、组织与实施</w:t>
      </w:r>
      <w:bookmarkEnd w:id="0"/>
    </w:p>
    <w:p>
      <w:pPr>
        <w:topLinePunct/>
        <w:rPr>
          <w:rFonts w:hint="default" w:ascii="仿宋" w:hAnsi="仿宋" w:eastAsia="仿宋"/>
          <w:sz w:val="32"/>
          <w:szCs w:val="32"/>
          <w:lang w:val="en-US" w:eastAsia="zh-CN"/>
        </w:rPr>
      </w:pPr>
      <w:r>
        <w:rPr>
          <w:rFonts w:hint="eastAsia" w:ascii="仿宋" w:hAnsi="仿宋" w:eastAsia="仿宋"/>
          <w:sz w:val="32"/>
          <w:szCs w:val="32"/>
        </w:rPr>
        <w:t xml:space="preserve">    成立秘书处积分制绩效考核工作领导小组，由协会秘书长担任组长，副秘书长和各部门负责人为成员，</w:t>
      </w:r>
      <w:bookmarkStart w:id="1" w:name="_Toc24669"/>
      <w:r>
        <w:rPr>
          <w:rFonts w:hint="eastAsia" w:ascii="仿宋" w:hAnsi="仿宋" w:eastAsia="仿宋"/>
          <w:sz w:val="32"/>
          <w:szCs w:val="32"/>
        </w:rPr>
        <w:t>由秘书处办公室（以下称办公室）负责积分日常登记</w:t>
      </w:r>
      <w:r>
        <w:rPr>
          <w:rFonts w:hint="eastAsia" w:ascii="仿宋" w:hAnsi="仿宋" w:eastAsia="仿宋"/>
          <w:sz w:val="32"/>
          <w:szCs w:val="32"/>
          <w:lang w:eastAsia="zh-CN"/>
        </w:rPr>
        <w:t>，</w:t>
      </w:r>
      <w:r>
        <w:rPr>
          <w:rFonts w:hint="eastAsia" w:ascii="仿宋" w:hAnsi="仿宋" w:eastAsia="仿宋"/>
          <w:sz w:val="32"/>
          <w:szCs w:val="32"/>
          <w:lang w:val="en-US" w:eastAsia="zh-CN"/>
        </w:rPr>
        <w:t>每月进行绩效考核一次。</w:t>
      </w:r>
    </w:p>
    <w:bookmarkEnd w:id="1"/>
    <w:p>
      <w:pPr>
        <w:topLinePunct/>
        <w:rPr>
          <w:rFonts w:ascii="黑体" w:hAnsi="黑体" w:eastAsia="黑体"/>
          <w:sz w:val="32"/>
          <w:szCs w:val="32"/>
        </w:rPr>
      </w:pPr>
      <w:bookmarkStart w:id="2" w:name="_Toc8029"/>
      <w:r>
        <w:rPr>
          <w:rFonts w:hint="eastAsia" w:ascii="仿宋" w:hAnsi="仿宋" w:eastAsia="仿宋"/>
          <w:sz w:val="32"/>
          <w:szCs w:val="32"/>
        </w:rPr>
        <w:t xml:space="preserve">    </w:t>
      </w:r>
      <w:r>
        <w:rPr>
          <w:rFonts w:hint="eastAsia" w:ascii="黑体" w:hAnsi="黑体" w:eastAsia="黑体"/>
          <w:sz w:val="32"/>
          <w:szCs w:val="32"/>
        </w:rPr>
        <w:t>二、考核程序</w:t>
      </w:r>
      <w:bookmarkEnd w:id="2"/>
    </w:p>
    <w:p>
      <w:pPr>
        <w:topLinePunct/>
        <w:rPr>
          <w:rFonts w:ascii="仿宋" w:hAnsi="仿宋" w:eastAsia="仿宋"/>
          <w:b/>
          <w:sz w:val="32"/>
          <w:szCs w:val="32"/>
        </w:rPr>
      </w:pPr>
      <w:bookmarkStart w:id="3" w:name="_Toc6043"/>
      <w:r>
        <w:rPr>
          <w:rFonts w:hint="eastAsia" w:ascii="仿宋" w:hAnsi="仿宋" w:eastAsia="仿宋"/>
          <w:sz w:val="32"/>
          <w:szCs w:val="32"/>
        </w:rPr>
        <w:t xml:space="preserve">    </w:t>
      </w:r>
      <w:r>
        <w:rPr>
          <w:rFonts w:hint="eastAsia" w:ascii="仿宋" w:hAnsi="仿宋" w:eastAsia="仿宋"/>
          <w:b/>
          <w:sz w:val="32"/>
          <w:szCs w:val="32"/>
        </w:rPr>
        <w:t>（一）自我评价</w:t>
      </w:r>
      <w:bookmarkEnd w:id="3"/>
    </w:p>
    <w:p>
      <w:pPr>
        <w:topLinePunct/>
        <w:ind w:firstLine="640"/>
        <w:rPr>
          <w:rFonts w:hint="eastAsia" w:ascii="仿宋" w:hAnsi="仿宋" w:eastAsia="仿宋"/>
          <w:sz w:val="32"/>
          <w:szCs w:val="32"/>
          <w:lang w:val="en-US" w:eastAsia="zh-CN"/>
        </w:rPr>
      </w:pPr>
      <w:r>
        <w:rPr>
          <w:rFonts w:hint="eastAsia" w:ascii="仿宋" w:hAnsi="仿宋" w:eastAsia="仿宋"/>
          <w:sz w:val="32"/>
          <w:szCs w:val="32"/>
        </w:rPr>
        <w:t>秘书处工作人员应对照本办法，将自己当月的工作表现与成效自我评价，于下月1日前</w:t>
      </w:r>
      <w:r>
        <w:rPr>
          <w:rFonts w:hint="eastAsia" w:ascii="仿宋" w:hAnsi="仿宋" w:eastAsia="仿宋"/>
          <w:sz w:val="32"/>
          <w:szCs w:val="32"/>
          <w:lang w:val="en-US" w:eastAsia="zh-CN"/>
        </w:rPr>
        <w:t>在管理系统提交</w:t>
      </w:r>
      <w:bookmarkStart w:id="4" w:name="_Toc7388"/>
      <w:r>
        <w:rPr>
          <w:rFonts w:hint="eastAsia" w:ascii="仿宋" w:hAnsi="仿宋" w:eastAsia="仿宋"/>
          <w:sz w:val="32"/>
          <w:szCs w:val="32"/>
          <w:lang w:val="en-US" w:eastAsia="zh-CN"/>
        </w:rPr>
        <w:t>。</w:t>
      </w:r>
    </w:p>
    <w:p>
      <w:pPr>
        <w:topLinePunct/>
        <w:rPr>
          <w:rFonts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（二）日常登记</w:t>
      </w:r>
      <w:bookmarkEnd w:id="4"/>
    </w:p>
    <w:p>
      <w:pPr>
        <w:topLinePunct/>
        <w:rPr>
          <w:rFonts w:ascii="仿宋" w:hAnsi="仿宋" w:eastAsia="仿宋"/>
          <w:sz w:val="32"/>
          <w:szCs w:val="32"/>
        </w:rPr>
      </w:pPr>
      <w:r>
        <w:rPr>
          <w:rFonts w:hint="eastAsia" w:ascii="仿宋" w:hAnsi="仿宋" w:eastAsia="仿宋"/>
          <w:sz w:val="32"/>
          <w:szCs w:val="32"/>
        </w:rPr>
        <w:t xml:space="preserve">    办公室对照本办法，对每个岗位、每位工作人员的工作绩效进行及时核实、登记和汇总。</w:t>
      </w:r>
    </w:p>
    <w:p>
      <w:pPr>
        <w:topLinePunct/>
        <w:rPr>
          <w:rFonts w:ascii="仿宋" w:hAnsi="仿宋" w:eastAsia="仿宋"/>
          <w:b/>
          <w:sz w:val="32"/>
          <w:szCs w:val="32"/>
        </w:rPr>
      </w:pPr>
      <w:bookmarkStart w:id="5" w:name="_Toc5722"/>
      <w:r>
        <w:rPr>
          <w:rFonts w:hint="eastAsia" w:ascii="仿宋" w:hAnsi="仿宋" w:eastAsia="仿宋"/>
          <w:sz w:val="32"/>
          <w:szCs w:val="32"/>
        </w:rPr>
        <w:t xml:space="preserve">    </w:t>
      </w:r>
      <w:r>
        <w:rPr>
          <w:rFonts w:hint="eastAsia" w:ascii="仿宋" w:hAnsi="仿宋" w:eastAsia="仿宋"/>
          <w:b/>
          <w:sz w:val="32"/>
          <w:szCs w:val="32"/>
        </w:rPr>
        <w:t>（三）提交</w:t>
      </w:r>
      <w:bookmarkEnd w:id="5"/>
      <w:r>
        <w:rPr>
          <w:rFonts w:hint="eastAsia" w:ascii="仿宋" w:hAnsi="仿宋" w:eastAsia="仿宋"/>
          <w:b/>
          <w:sz w:val="32"/>
          <w:szCs w:val="32"/>
        </w:rPr>
        <w:t>审核</w:t>
      </w:r>
    </w:p>
    <w:p>
      <w:pPr>
        <w:topLinePunct/>
        <w:ind w:firstLine="640"/>
        <w:rPr>
          <w:rFonts w:hint="eastAsia" w:ascii="仿宋" w:hAnsi="仿宋" w:eastAsia="仿宋"/>
          <w:sz w:val="32"/>
          <w:szCs w:val="32"/>
        </w:rPr>
      </w:pPr>
      <w:r>
        <w:rPr>
          <w:rFonts w:hint="eastAsia" w:ascii="仿宋" w:hAnsi="仿宋" w:eastAsia="仿宋"/>
          <w:sz w:val="32"/>
          <w:szCs w:val="32"/>
        </w:rPr>
        <w:t>办公室每个月汇总一次情况，累加到每个季度上报考核工作领导小组审核。</w:t>
      </w:r>
      <w:bookmarkStart w:id="6" w:name="_Toc192656964"/>
    </w:p>
    <w:p>
      <w:pPr>
        <w:topLinePunct/>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四</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最终考核</w:t>
      </w:r>
    </w:p>
    <w:p>
      <w:pPr>
        <w:topLinePunct/>
        <w:rPr>
          <w:rFonts w:hint="default" w:ascii="仿宋" w:hAnsi="仿宋" w:eastAsia="仿宋"/>
          <w:sz w:val="32"/>
          <w:szCs w:val="32"/>
          <w:lang w:val="en-US"/>
        </w:rPr>
      </w:pPr>
      <w:bookmarkStart w:id="7" w:name="_Toc32594"/>
      <w:r>
        <w:rPr>
          <w:rFonts w:hint="eastAsia" w:ascii="仿宋" w:hAnsi="仿宋" w:eastAsia="仿宋"/>
          <w:sz w:val="32"/>
          <w:szCs w:val="32"/>
        </w:rPr>
        <w:t xml:space="preserve">  </w:t>
      </w:r>
      <w:r>
        <w:rPr>
          <w:rFonts w:hint="eastAsia" w:ascii="黑体" w:hAnsi="黑体" w:eastAsia="黑体"/>
          <w:sz w:val="32"/>
          <w:szCs w:val="32"/>
        </w:rPr>
        <w:t xml:space="preserve"> </w:t>
      </w:r>
      <w:r>
        <w:rPr>
          <w:rFonts w:hint="eastAsia" w:ascii="仿宋" w:hAnsi="仿宋" w:eastAsia="仿宋"/>
          <w:sz w:val="32"/>
          <w:szCs w:val="32"/>
          <w:lang w:val="en-US" w:eastAsia="zh-CN"/>
        </w:rPr>
        <w:t>工作人员自我评价打分后，部门部长对本部门人员再进行考核打分，最后秘书长再进行绩效考核打分。</w:t>
      </w:r>
    </w:p>
    <w:p>
      <w:pPr>
        <w:topLinePunct/>
        <w:rPr>
          <w:rFonts w:ascii="黑体" w:hAnsi="黑体" w:eastAsia="黑体"/>
          <w:sz w:val="32"/>
          <w:szCs w:val="32"/>
        </w:rPr>
      </w:pPr>
      <w:r>
        <w:rPr>
          <w:rFonts w:hint="eastAsia" w:ascii="黑体" w:hAnsi="黑体" w:eastAsia="黑体"/>
          <w:sz w:val="32"/>
          <w:szCs w:val="32"/>
        </w:rPr>
        <w:t xml:space="preserve"> 三、</w:t>
      </w:r>
      <w:bookmarkEnd w:id="6"/>
      <w:bookmarkEnd w:id="7"/>
      <w:r>
        <w:rPr>
          <w:rFonts w:hint="eastAsia" w:ascii="黑体" w:hAnsi="黑体" w:eastAsia="黑体"/>
          <w:sz w:val="32"/>
          <w:szCs w:val="32"/>
        </w:rPr>
        <w:t>考核指标</w:t>
      </w:r>
      <w:bookmarkStart w:id="8" w:name="_Toc6296"/>
    </w:p>
    <w:p>
      <w:pPr>
        <w:topLinePunct/>
        <w:ind w:firstLine="640"/>
        <w:rPr>
          <w:rFonts w:hint="eastAsia" w:ascii="仿宋" w:hAnsi="仿宋" w:eastAsia="仿宋"/>
          <w:sz w:val="32"/>
          <w:szCs w:val="32"/>
        </w:rPr>
      </w:pPr>
      <w:r>
        <w:rPr>
          <w:rFonts w:hint="eastAsia" w:ascii="仿宋" w:hAnsi="仿宋" w:eastAsia="仿宋"/>
          <w:sz w:val="32"/>
          <w:szCs w:val="32"/>
        </w:rPr>
        <w:t>主要从</w:t>
      </w:r>
      <w:r>
        <w:rPr>
          <w:rFonts w:hint="eastAsia" w:ascii="仿宋" w:hAnsi="仿宋" w:eastAsia="仿宋"/>
          <w:sz w:val="32"/>
          <w:szCs w:val="32"/>
          <w:lang w:eastAsia="zh-CN"/>
        </w:rPr>
        <w:t>服务会员、岗位工作、</w:t>
      </w:r>
      <w:r>
        <w:rPr>
          <w:rFonts w:hint="eastAsia" w:ascii="仿宋" w:hAnsi="仿宋" w:eastAsia="仿宋"/>
          <w:sz w:val="32"/>
          <w:szCs w:val="32"/>
          <w:lang w:val="en-US" w:eastAsia="zh-CN"/>
        </w:rPr>
        <w:t>加分项目、减分项目</w:t>
      </w:r>
      <w:r>
        <w:rPr>
          <w:rFonts w:hint="eastAsia" w:ascii="仿宋" w:hAnsi="仿宋" w:eastAsia="仿宋"/>
          <w:sz w:val="32"/>
          <w:szCs w:val="32"/>
        </w:rPr>
        <w:t>等指标进行考核</w:t>
      </w:r>
      <w:bookmarkEnd w:id="8"/>
      <w:r>
        <w:rPr>
          <w:rFonts w:hint="eastAsia" w:ascii="仿宋" w:hAnsi="仿宋" w:eastAsia="仿宋"/>
          <w:sz w:val="32"/>
          <w:szCs w:val="32"/>
        </w:rPr>
        <w:t>评价，由考核工作领导小组对办公室提交的汇总表是否符合要求，进行定性与定量结合的评价。满分为100分，综合得分达到70分（含）以上为符合评价要求，按所超分数额获得年度绩效奖金，不符合评价要求的为末位淘汰对象。</w:t>
      </w:r>
    </w:p>
    <w:p>
      <w:pPr>
        <w:topLinePunct/>
        <w:spacing w:line="600" w:lineRule="exact"/>
        <w:rPr>
          <w:rFonts w:ascii="仿宋" w:hAnsi="仿宋" w:eastAsia="仿宋"/>
          <w:b/>
          <w:sz w:val="32"/>
          <w:szCs w:val="32"/>
        </w:rPr>
      </w:pPr>
      <w:r>
        <w:rPr>
          <w:rFonts w:hint="eastAsia"/>
        </w:rPr>
        <w:t xml:space="preserve">   </w:t>
      </w:r>
      <w:r>
        <w:rPr>
          <w:rFonts w:hint="eastAsia" w:ascii="仿宋" w:hAnsi="仿宋" w:eastAsia="仿宋"/>
          <w:sz w:val="32"/>
          <w:szCs w:val="32"/>
        </w:rPr>
        <w:t xml:space="preserve"> </w:t>
      </w:r>
      <w:r>
        <w:rPr>
          <w:rFonts w:hint="eastAsia" w:ascii="仿宋" w:hAnsi="仿宋" w:eastAsia="仿宋"/>
          <w:b/>
          <w:sz w:val="32"/>
          <w:szCs w:val="32"/>
        </w:rPr>
        <w:t>（一）</w:t>
      </w:r>
      <w:r>
        <w:rPr>
          <w:rFonts w:hint="eastAsia" w:ascii="仿宋" w:hAnsi="仿宋" w:eastAsia="仿宋"/>
          <w:b/>
          <w:sz w:val="32"/>
          <w:szCs w:val="32"/>
          <w:lang w:eastAsia="zh-CN"/>
        </w:rPr>
        <w:t>服务会员</w:t>
      </w:r>
      <w:r>
        <w:rPr>
          <w:rFonts w:hint="eastAsia" w:ascii="仿宋" w:hAnsi="仿宋" w:eastAsia="仿宋"/>
          <w:b/>
          <w:sz w:val="32"/>
          <w:szCs w:val="32"/>
        </w:rPr>
        <w:t>（≤</w:t>
      </w:r>
      <w:r>
        <w:rPr>
          <w:rFonts w:hint="eastAsia" w:ascii="仿宋" w:hAnsi="仿宋" w:eastAsia="仿宋"/>
          <w:b/>
          <w:sz w:val="32"/>
          <w:szCs w:val="32"/>
          <w:lang w:val="en-US" w:eastAsia="zh-CN"/>
        </w:rPr>
        <w:t>40</w:t>
      </w:r>
      <w:r>
        <w:rPr>
          <w:rFonts w:hint="eastAsia" w:ascii="仿宋" w:hAnsi="仿宋" w:eastAsia="仿宋"/>
          <w:b/>
          <w:sz w:val="32"/>
          <w:szCs w:val="32"/>
        </w:rPr>
        <w:t>分）</w:t>
      </w:r>
    </w:p>
    <w:tbl>
      <w:tblPr>
        <w:tblStyle w:val="3"/>
        <w:tblW w:w="10185" w:type="dxa"/>
        <w:jc w:val="center"/>
        <w:tblLayout w:type="fixed"/>
        <w:tblCellMar>
          <w:top w:w="0" w:type="dxa"/>
          <w:left w:w="108" w:type="dxa"/>
          <w:bottom w:w="0" w:type="dxa"/>
          <w:right w:w="108" w:type="dxa"/>
        </w:tblCellMar>
      </w:tblPr>
      <w:tblGrid>
        <w:gridCol w:w="766"/>
        <w:gridCol w:w="1755"/>
        <w:gridCol w:w="1035"/>
        <w:gridCol w:w="2040"/>
        <w:gridCol w:w="4589"/>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beforeLines="20" w:line="55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序号</w:t>
            </w:r>
          </w:p>
        </w:tc>
        <w:tc>
          <w:tcPr>
            <w:tcW w:w="1755" w:type="dxa"/>
            <w:tcBorders>
              <w:top w:val="single" w:color="auto" w:sz="4" w:space="0"/>
              <w:left w:val="nil"/>
              <w:bottom w:val="single" w:color="auto" w:sz="4" w:space="0"/>
              <w:right w:val="single" w:color="auto" w:sz="4" w:space="0"/>
            </w:tcBorders>
            <w:vAlign w:val="center"/>
          </w:tcPr>
          <w:p>
            <w:pPr>
              <w:spacing w:beforeLines="20" w:line="55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相关评价项</w:t>
            </w:r>
          </w:p>
        </w:tc>
        <w:tc>
          <w:tcPr>
            <w:tcW w:w="1035" w:type="dxa"/>
            <w:tcBorders>
              <w:top w:val="single" w:color="auto" w:sz="4" w:space="0"/>
              <w:left w:val="nil"/>
              <w:bottom w:val="single" w:color="auto" w:sz="4" w:space="0"/>
              <w:right w:val="single" w:color="auto" w:sz="4" w:space="0"/>
            </w:tcBorders>
            <w:vAlign w:val="center"/>
          </w:tcPr>
          <w:p>
            <w:pPr>
              <w:spacing w:beforeLines="20" w:line="55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分值</w:t>
            </w:r>
          </w:p>
        </w:tc>
        <w:tc>
          <w:tcPr>
            <w:tcW w:w="2040" w:type="dxa"/>
            <w:tcBorders>
              <w:top w:val="single" w:color="auto" w:sz="4" w:space="0"/>
              <w:left w:val="nil"/>
              <w:bottom w:val="single" w:color="auto" w:sz="4" w:space="0"/>
              <w:right w:val="single" w:color="auto" w:sz="4" w:space="0"/>
            </w:tcBorders>
          </w:tcPr>
          <w:p>
            <w:pPr>
              <w:spacing w:beforeLines="20" w:line="55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评</w:t>
            </w:r>
            <w:r>
              <w:rPr>
                <w:rFonts w:hint="eastAsia" w:ascii="仿宋" w:hAnsi="仿宋" w:eastAsia="仿宋"/>
                <w:b/>
                <w:bCs/>
                <w:snapToGrid w:val="0"/>
                <w:spacing w:val="2"/>
                <w:sz w:val="24"/>
                <w:szCs w:val="24"/>
                <w:lang w:eastAsia="zh-CN"/>
              </w:rPr>
              <w:t>分</w:t>
            </w:r>
            <w:r>
              <w:rPr>
                <w:rFonts w:hint="eastAsia" w:ascii="仿宋" w:hAnsi="仿宋" w:eastAsia="仿宋"/>
                <w:b/>
                <w:bCs/>
                <w:snapToGrid w:val="0"/>
                <w:spacing w:val="2"/>
                <w:sz w:val="24"/>
                <w:szCs w:val="24"/>
              </w:rPr>
              <w:t>标准</w:t>
            </w:r>
          </w:p>
        </w:tc>
        <w:tc>
          <w:tcPr>
            <w:tcW w:w="4589" w:type="dxa"/>
            <w:tcBorders>
              <w:top w:val="single" w:color="auto" w:sz="4" w:space="0"/>
              <w:left w:val="nil"/>
              <w:bottom w:val="single" w:color="auto" w:sz="4" w:space="0"/>
              <w:right w:val="single" w:color="auto" w:sz="4" w:space="0"/>
            </w:tcBorders>
          </w:tcPr>
          <w:p>
            <w:pPr>
              <w:spacing w:beforeLines="20" w:line="55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lang w:eastAsia="zh-CN"/>
              </w:rPr>
              <w:t>评价</w:t>
            </w:r>
            <w:r>
              <w:rPr>
                <w:rFonts w:hint="eastAsia" w:ascii="仿宋" w:hAnsi="仿宋" w:eastAsia="仿宋"/>
                <w:b/>
                <w:bCs/>
                <w:snapToGrid w:val="0"/>
                <w:spacing w:val="2"/>
                <w:sz w:val="24"/>
                <w:szCs w:val="24"/>
              </w:rPr>
              <w:t>标准</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beforeLines="20" w:line="56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1</w:t>
            </w:r>
          </w:p>
        </w:tc>
        <w:tc>
          <w:tcPr>
            <w:tcW w:w="1755" w:type="dxa"/>
            <w:tcBorders>
              <w:top w:val="single" w:color="auto" w:sz="4" w:space="0"/>
              <w:left w:val="nil"/>
              <w:bottom w:val="single" w:color="auto" w:sz="4" w:space="0"/>
              <w:right w:val="single" w:color="auto" w:sz="4" w:space="0"/>
            </w:tcBorders>
            <w:vAlign w:val="center"/>
          </w:tcPr>
          <w:p>
            <w:pPr>
              <w:spacing w:beforeLines="20" w:line="56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促进会员履职情况</w:t>
            </w:r>
          </w:p>
        </w:tc>
        <w:tc>
          <w:tcPr>
            <w:tcW w:w="1035" w:type="dxa"/>
            <w:tcBorders>
              <w:top w:val="single" w:color="auto" w:sz="4" w:space="0"/>
              <w:left w:val="nil"/>
              <w:bottom w:val="single" w:color="auto" w:sz="4" w:space="0"/>
              <w:right w:val="single" w:color="auto" w:sz="4" w:space="0"/>
            </w:tcBorders>
            <w:vAlign w:val="center"/>
          </w:tcPr>
          <w:p>
            <w:pPr>
              <w:spacing w:beforeLines="20" w:line="560" w:lineRule="exact"/>
              <w:jc w:val="center"/>
              <w:rPr>
                <w:rFonts w:hint="default" w:ascii="仿宋" w:hAnsi="仿宋" w:eastAsia="仿宋"/>
                <w:snapToGrid w:val="0"/>
                <w:spacing w:val="2"/>
                <w:sz w:val="24"/>
                <w:szCs w:val="24"/>
                <w:lang w:val="en-US" w:eastAsia="zh-CN"/>
              </w:rPr>
            </w:pPr>
            <w:r>
              <w:rPr>
                <w:rFonts w:hint="eastAsia" w:ascii="仿宋" w:hAnsi="仿宋" w:eastAsia="仿宋"/>
                <w:snapToGrid w:val="0"/>
                <w:spacing w:val="2"/>
                <w:sz w:val="24"/>
                <w:szCs w:val="24"/>
              </w:rPr>
              <w:t>≤</w:t>
            </w:r>
            <w:r>
              <w:rPr>
                <w:rFonts w:hint="eastAsia" w:ascii="仿宋" w:hAnsi="仿宋" w:eastAsia="仿宋"/>
                <w:snapToGrid w:val="0"/>
                <w:spacing w:val="2"/>
                <w:sz w:val="24"/>
                <w:szCs w:val="24"/>
                <w:lang w:val="en-US" w:eastAsia="zh-CN"/>
              </w:rPr>
              <w:t>20</w:t>
            </w:r>
          </w:p>
        </w:tc>
        <w:tc>
          <w:tcPr>
            <w:tcW w:w="2040" w:type="dxa"/>
            <w:tcBorders>
              <w:top w:val="single" w:color="auto" w:sz="4" w:space="0"/>
              <w:left w:val="nil"/>
              <w:bottom w:val="single" w:color="auto" w:sz="4" w:space="0"/>
              <w:right w:val="single" w:color="auto" w:sz="4" w:space="0"/>
            </w:tcBorders>
          </w:tcPr>
          <w:p>
            <w:pPr>
              <w:spacing w:beforeLines="20" w:line="56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好，记20分；较好，记16-18分；</w:t>
            </w:r>
          </w:p>
          <w:p>
            <w:pPr>
              <w:spacing w:beforeLines="20" w:line="56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一般，记12-15分；差，记0-11分。</w:t>
            </w:r>
          </w:p>
        </w:tc>
        <w:tc>
          <w:tcPr>
            <w:tcW w:w="4589" w:type="dxa"/>
            <w:tcBorders>
              <w:top w:val="single" w:color="auto" w:sz="4" w:space="0"/>
              <w:left w:val="nil"/>
              <w:bottom w:val="single" w:color="auto" w:sz="4" w:space="0"/>
              <w:right w:val="single" w:color="auto" w:sz="4" w:space="0"/>
            </w:tcBorders>
          </w:tcPr>
          <w:p>
            <w:pPr>
              <w:spacing w:beforeLines="20" w:line="56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以会员参加会议或活动、或完成协会有关工作的家数为基数，分别计算该家数占工作人员自己所对接会员家数的百分比，以及该家数占当次会议或活动总参加家数、或工作完成总家数的百分比，再加权计算平均百分比。依据此平均百分比进行排名打分。</w:t>
            </w:r>
          </w:p>
        </w:tc>
      </w:tr>
      <w:tr>
        <w:tblPrEx>
          <w:tblCellMar>
            <w:top w:w="0" w:type="dxa"/>
            <w:left w:w="108" w:type="dxa"/>
            <w:bottom w:w="0" w:type="dxa"/>
            <w:right w:w="108" w:type="dxa"/>
          </w:tblCellMar>
        </w:tblPrEx>
        <w:trPr>
          <w:trHeight w:val="567" w:hRule="atLeast"/>
          <w:jc w:val="center"/>
        </w:trPr>
        <w:tc>
          <w:tcPr>
            <w:tcW w:w="766" w:type="dxa"/>
            <w:tcBorders>
              <w:top w:val="nil"/>
              <w:left w:val="single" w:color="auto" w:sz="4" w:space="0"/>
              <w:bottom w:val="single" w:color="auto" w:sz="4" w:space="0"/>
              <w:right w:val="single" w:color="auto" w:sz="4" w:space="0"/>
            </w:tcBorders>
            <w:vAlign w:val="center"/>
          </w:tcPr>
          <w:p>
            <w:pPr>
              <w:spacing w:beforeLines="20" w:line="56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2</w:t>
            </w:r>
          </w:p>
        </w:tc>
        <w:tc>
          <w:tcPr>
            <w:tcW w:w="1755" w:type="dxa"/>
            <w:tcBorders>
              <w:top w:val="nil"/>
              <w:left w:val="nil"/>
              <w:bottom w:val="single" w:color="auto" w:sz="4" w:space="0"/>
              <w:right w:val="single" w:color="auto" w:sz="4" w:space="0"/>
            </w:tcBorders>
            <w:vAlign w:val="center"/>
          </w:tcPr>
          <w:p>
            <w:pPr>
              <w:spacing w:beforeLines="20" w:line="56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帮助会员解决实际问题情况</w:t>
            </w:r>
          </w:p>
        </w:tc>
        <w:tc>
          <w:tcPr>
            <w:tcW w:w="1035" w:type="dxa"/>
            <w:tcBorders>
              <w:top w:val="nil"/>
              <w:left w:val="nil"/>
              <w:bottom w:val="single" w:color="auto" w:sz="4" w:space="0"/>
              <w:right w:val="single" w:color="auto" w:sz="4" w:space="0"/>
            </w:tcBorders>
            <w:vAlign w:val="center"/>
          </w:tcPr>
          <w:p>
            <w:pPr>
              <w:spacing w:beforeLines="20" w:line="56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w:t>
            </w:r>
            <w:r>
              <w:rPr>
                <w:rFonts w:hint="eastAsia" w:ascii="仿宋" w:hAnsi="仿宋" w:eastAsia="仿宋"/>
                <w:snapToGrid w:val="0"/>
                <w:spacing w:val="2"/>
                <w:sz w:val="24"/>
                <w:szCs w:val="24"/>
                <w:lang w:val="en-US" w:eastAsia="zh-CN"/>
              </w:rPr>
              <w:t>1</w:t>
            </w:r>
            <w:r>
              <w:rPr>
                <w:rFonts w:hint="eastAsia" w:ascii="仿宋" w:hAnsi="仿宋" w:eastAsia="仿宋"/>
                <w:snapToGrid w:val="0"/>
                <w:spacing w:val="2"/>
                <w:sz w:val="24"/>
                <w:szCs w:val="24"/>
              </w:rPr>
              <w:t>5</w:t>
            </w:r>
          </w:p>
        </w:tc>
        <w:tc>
          <w:tcPr>
            <w:tcW w:w="2040" w:type="dxa"/>
            <w:tcBorders>
              <w:top w:val="nil"/>
              <w:left w:val="nil"/>
              <w:bottom w:val="single" w:color="auto" w:sz="4" w:space="0"/>
              <w:right w:val="single" w:color="auto" w:sz="4" w:space="0"/>
            </w:tcBorders>
          </w:tcPr>
          <w:p>
            <w:pPr>
              <w:spacing w:beforeLines="20" w:line="56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好，记15分；较好，记12-14分；</w:t>
            </w:r>
          </w:p>
          <w:p>
            <w:pPr>
              <w:spacing w:beforeLines="20" w:line="56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一般，记9-11分；差，记0-8分。</w:t>
            </w:r>
          </w:p>
        </w:tc>
        <w:tc>
          <w:tcPr>
            <w:tcW w:w="4589" w:type="dxa"/>
            <w:tcBorders>
              <w:top w:val="nil"/>
              <w:left w:val="nil"/>
              <w:bottom w:val="single" w:color="auto" w:sz="4" w:space="0"/>
              <w:right w:val="single" w:color="auto" w:sz="4" w:space="0"/>
            </w:tcBorders>
          </w:tcPr>
          <w:p>
            <w:pPr>
              <w:spacing w:beforeLines="20" w:line="56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以协会会务管理系统所登记的走访会员、服务会员、解决问题的情况进行权衡打分。</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beforeLines="20" w:line="56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3</w:t>
            </w:r>
          </w:p>
        </w:tc>
        <w:tc>
          <w:tcPr>
            <w:tcW w:w="1755" w:type="dxa"/>
            <w:tcBorders>
              <w:top w:val="single" w:color="auto" w:sz="4" w:space="0"/>
              <w:left w:val="single" w:color="auto" w:sz="4" w:space="0"/>
              <w:bottom w:val="single" w:color="auto" w:sz="4" w:space="0"/>
              <w:right w:val="single" w:color="auto" w:sz="4" w:space="0"/>
            </w:tcBorders>
            <w:vAlign w:val="center"/>
          </w:tcPr>
          <w:p>
            <w:pPr>
              <w:spacing w:beforeLines="20" w:line="56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临时工作任务完成情况</w:t>
            </w:r>
          </w:p>
        </w:tc>
        <w:tc>
          <w:tcPr>
            <w:tcW w:w="1035" w:type="dxa"/>
            <w:tcBorders>
              <w:top w:val="single" w:color="auto" w:sz="4" w:space="0"/>
              <w:left w:val="single" w:color="auto" w:sz="4" w:space="0"/>
              <w:bottom w:val="single" w:color="auto" w:sz="4" w:space="0"/>
              <w:right w:val="single" w:color="auto" w:sz="4" w:space="0"/>
            </w:tcBorders>
            <w:vAlign w:val="center"/>
          </w:tcPr>
          <w:p>
            <w:pPr>
              <w:spacing w:beforeLines="20" w:line="56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≤5</w:t>
            </w:r>
          </w:p>
        </w:tc>
        <w:tc>
          <w:tcPr>
            <w:tcW w:w="2040" w:type="dxa"/>
            <w:tcBorders>
              <w:top w:val="single" w:color="auto" w:sz="4" w:space="0"/>
              <w:left w:val="single" w:color="auto" w:sz="4" w:space="0"/>
              <w:bottom w:val="single" w:color="auto" w:sz="4" w:space="0"/>
              <w:right w:val="single" w:color="auto" w:sz="4" w:space="0"/>
            </w:tcBorders>
          </w:tcPr>
          <w:p>
            <w:pPr>
              <w:spacing w:beforeLines="20" w:line="56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好，记5分；较好，记4分；</w:t>
            </w:r>
          </w:p>
          <w:p>
            <w:pPr>
              <w:spacing w:beforeLines="20" w:line="56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一般，记3分；差，记0-2分。</w:t>
            </w:r>
          </w:p>
        </w:tc>
        <w:tc>
          <w:tcPr>
            <w:tcW w:w="4589" w:type="dxa"/>
            <w:tcBorders>
              <w:top w:val="single" w:color="auto" w:sz="4" w:space="0"/>
              <w:left w:val="single" w:color="auto" w:sz="4" w:space="0"/>
              <w:bottom w:val="single" w:color="auto" w:sz="4" w:space="0"/>
              <w:right w:val="single" w:color="auto" w:sz="4" w:space="0"/>
            </w:tcBorders>
          </w:tcPr>
          <w:p>
            <w:pPr>
              <w:spacing w:beforeLines="20" w:line="56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根据完成领导临时交办任务的情况进行权衡打分。</w:t>
            </w:r>
          </w:p>
        </w:tc>
      </w:tr>
    </w:tbl>
    <w:p>
      <w:pPr>
        <w:numPr>
          <w:ilvl w:val="0"/>
          <w:numId w:val="1"/>
        </w:numPr>
        <w:topLinePunct/>
        <w:spacing w:line="550" w:lineRule="exact"/>
        <w:rPr>
          <w:rFonts w:hint="eastAsia" w:ascii="仿宋" w:hAnsi="仿宋" w:eastAsia="仿宋"/>
          <w:b/>
          <w:sz w:val="24"/>
          <w:szCs w:val="24"/>
        </w:rPr>
      </w:pPr>
      <w:r>
        <w:rPr>
          <w:rFonts w:hint="eastAsia" w:ascii="仿宋" w:hAnsi="仿宋" w:eastAsia="仿宋"/>
          <w:b/>
          <w:sz w:val="24"/>
          <w:szCs w:val="24"/>
          <w:lang w:eastAsia="zh-CN"/>
        </w:rPr>
        <w:t>岗位工作</w:t>
      </w:r>
      <w:r>
        <w:rPr>
          <w:rFonts w:hint="eastAsia" w:ascii="仿宋" w:hAnsi="仿宋" w:eastAsia="仿宋"/>
          <w:b/>
          <w:sz w:val="24"/>
          <w:szCs w:val="24"/>
        </w:rPr>
        <w:t>（≤</w:t>
      </w:r>
      <w:r>
        <w:rPr>
          <w:rFonts w:hint="eastAsia" w:ascii="仿宋" w:hAnsi="仿宋" w:eastAsia="仿宋"/>
          <w:b/>
          <w:sz w:val="24"/>
          <w:szCs w:val="24"/>
          <w:lang w:val="en-US" w:eastAsia="zh-CN"/>
        </w:rPr>
        <w:t>60</w:t>
      </w:r>
      <w:r>
        <w:rPr>
          <w:rFonts w:hint="eastAsia" w:ascii="仿宋" w:hAnsi="仿宋" w:eastAsia="仿宋"/>
          <w:b/>
          <w:sz w:val="24"/>
          <w:szCs w:val="24"/>
        </w:rPr>
        <w:t>分）</w:t>
      </w:r>
    </w:p>
    <w:p>
      <w:pPr>
        <w:numPr>
          <w:ilvl w:val="0"/>
          <w:numId w:val="0"/>
        </w:numPr>
        <w:topLinePunct/>
        <w:spacing w:line="550" w:lineRule="exact"/>
        <w:rPr>
          <w:rFonts w:hint="eastAsia" w:ascii="仿宋" w:hAnsi="仿宋" w:eastAsia="仿宋"/>
          <w:b/>
          <w:sz w:val="24"/>
          <w:szCs w:val="24"/>
          <w:lang w:val="en-US" w:eastAsia="zh-CN"/>
        </w:rPr>
      </w:pPr>
      <w:r>
        <w:rPr>
          <w:rFonts w:hint="eastAsia" w:ascii="仿宋" w:hAnsi="仿宋" w:eastAsia="仿宋"/>
          <w:b/>
          <w:sz w:val="24"/>
          <w:szCs w:val="24"/>
          <w:lang w:val="en-US" w:eastAsia="zh-CN"/>
        </w:rPr>
        <w:t>1、基础部门</w:t>
      </w:r>
    </w:p>
    <w:tbl>
      <w:tblPr>
        <w:tblStyle w:val="3"/>
        <w:tblW w:w="10139" w:type="dxa"/>
        <w:jc w:val="center"/>
        <w:tblLayout w:type="fixed"/>
        <w:tblCellMar>
          <w:top w:w="0" w:type="dxa"/>
          <w:left w:w="108" w:type="dxa"/>
          <w:bottom w:w="0" w:type="dxa"/>
          <w:right w:w="108" w:type="dxa"/>
        </w:tblCellMar>
      </w:tblPr>
      <w:tblGrid>
        <w:gridCol w:w="773"/>
        <w:gridCol w:w="1671"/>
        <w:gridCol w:w="1035"/>
        <w:gridCol w:w="1695"/>
        <w:gridCol w:w="4965"/>
      </w:tblGrid>
      <w:tr>
        <w:tblPrEx>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序号</w:t>
            </w:r>
          </w:p>
        </w:tc>
        <w:tc>
          <w:tcPr>
            <w:tcW w:w="1671"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相关评价项</w:t>
            </w:r>
          </w:p>
        </w:tc>
        <w:tc>
          <w:tcPr>
            <w:tcW w:w="1035"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分值</w:t>
            </w:r>
          </w:p>
        </w:tc>
        <w:tc>
          <w:tcPr>
            <w:tcW w:w="1695" w:type="dxa"/>
            <w:tcBorders>
              <w:top w:val="single" w:color="auto" w:sz="4" w:space="0"/>
              <w:left w:val="nil"/>
              <w:bottom w:val="single" w:color="auto" w:sz="4" w:space="0"/>
              <w:right w:val="single" w:color="auto" w:sz="4" w:space="0"/>
            </w:tcBorders>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评</w:t>
            </w:r>
            <w:r>
              <w:rPr>
                <w:rFonts w:hint="eastAsia" w:ascii="仿宋" w:hAnsi="仿宋" w:eastAsia="仿宋"/>
                <w:b/>
                <w:bCs/>
                <w:snapToGrid w:val="0"/>
                <w:spacing w:val="2"/>
                <w:sz w:val="24"/>
                <w:szCs w:val="24"/>
                <w:lang w:eastAsia="zh-CN"/>
              </w:rPr>
              <w:t>分</w:t>
            </w:r>
            <w:r>
              <w:rPr>
                <w:rFonts w:hint="eastAsia" w:ascii="仿宋" w:hAnsi="仿宋" w:eastAsia="仿宋"/>
                <w:b/>
                <w:bCs/>
                <w:snapToGrid w:val="0"/>
                <w:spacing w:val="2"/>
                <w:sz w:val="24"/>
                <w:szCs w:val="24"/>
              </w:rPr>
              <w:t>标准</w:t>
            </w:r>
          </w:p>
        </w:tc>
        <w:tc>
          <w:tcPr>
            <w:tcW w:w="4965" w:type="dxa"/>
            <w:tcBorders>
              <w:top w:val="single" w:color="auto" w:sz="4" w:space="0"/>
              <w:left w:val="nil"/>
              <w:bottom w:val="single" w:color="auto" w:sz="4" w:space="0"/>
              <w:right w:val="single" w:color="auto" w:sz="4" w:space="0"/>
            </w:tcBorders>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lang w:eastAsia="zh-CN"/>
              </w:rPr>
              <w:t>评价</w:t>
            </w:r>
            <w:r>
              <w:rPr>
                <w:rFonts w:hint="eastAsia" w:ascii="仿宋" w:hAnsi="仿宋" w:eastAsia="仿宋"/>
                <w:b/>
                <w:bCs/>
                <w:snapToGrid w:val="0"/>
                <w:spacing w:val="2"/>
                <w:sz w:val="24"/>
                <w:szCs w:val="24"/>
              </w:rPr>
              <w:t>标准</w:t>
            </w:r>
          </w:p>
        </w:tc>
      </w:tr>
      <w:tr>
        <w:tblPrEx>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1</w:t>
            </w:r>
          </w:p>
        </w:tc>
        <w:tc>
          <w:tcPr>
            <w:tcW w:w="1671"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工作有计划、有安排</w:t>
            </w:r>
          </w:p>
        </w:tc>
        <w:tc>
          <w:tcPr>
            <w:tcW w:w="1035"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hint="default" w:ascii="仿宋" w:hAnsi="仿宋" w:eastAsia="仿宋"/>
                <w:snapToGrid w:val="0"/>
                <w:spacing w:val="2"/>
                <w:sz w:val="24"/>
                <w:szCs w:val="24"/>
                <w:lang w:val="en-US" w:eastAsia="zh-CN"/>
              </w:rPr>
            </w:pPr>
            <w:r>
              <w:rPr>
                <w:rFonts w:hint="eastAsia" w:ascii="仿宋" w:hAnsi="仿宋" w:eastAsia="仿宋"/>
                <w:snapToGrid w:val="0"/>
                <w:spacing w:val="2"/>
                <w:sz w:val="24"/>
                <w:szCs w:val="24"/>
              </w:rPr>
              <w:t>≤</w:t>
            </w:r>
            <w:r>
              <w:rPr>
                <w:rFonts w:hint="eastAsia" w:ascii="仿宋" w:hAnsi="仿宋" w:eastAsia="仿宋"/>
                <w:snapToGrid w:val="0"/>
                <w:spacing w:val="2"/>
                <w:sz w:val="24"/>
                <w:szCs w:val="24"/>
                <w:lang w:val="en-US" w:eastAsia="zh-CN"/>
              </w:rPr>
              <w:t>10</w:t>
            </w:r>
          </w:p>
        </w:tc>
        <w:tc>
          <w:tcPr>
            <w:tcW w:w="1695" w:type="dxa"/>
            <w:tcBorders>
              <w:top w:val="single" w:color="auto" w:sz="4" w:space="0"/>
              <w:left w:val="nil"/>
              <w:bottom w:val="single" w:color="auto" w:sz="4" w:space="0"/>
              <w:right w:val="single" w:color="auto" w:sz="4" w:space="0"/>
            </w:tcBorders>
          </w:tcPr>
          <w:p>
            <w:pPr>
              <w:spacing w:beforeLines="20" w:line="52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好，记10分；较好，记8-9分；</w:t>
            </w:r>
          </w:p>
          <w:p>
            <w:pPr>
              <w:spacing w:beforeLines="20" w:line="52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一般，记6-7分；差，记0-5分。</w:t>
            </w:r>
          </w:p>
        </w:tc>
        <w:tc>
          <w:tcPr>
            <w:tcW w:w="4965" w:type="dxa"/>
            <w:tcBorders>
              <w:top w:val="single" w:color="auto" w:sz="4" w:space="0"/>
              <w:left w:val="nil"/>
              <w:bottom w:val="single" w:color="auto" w:sz="4" w:space="0"/>
              <w:right w:val="single" w:color="auto" w:sz="4" w:space="0"/>
            </w:tcBorders>
          </w:tcPr>
          <w:p>
            <w:pPr>
              <w:spacing w:beforeLines="20" w:line="52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以具体资料和工作记录情况进行权衡打分。</w:t>
            </w:r>
          </w:p>
        </w:tc>
      </w:tr>
      <w:tr>
        <w:tblPrEx>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2</w:t>
            </w:r>
          </w:p>
        </w:tc>
        <w:tc>
          <w:tcPr>
            <w:tcW w:w="1671"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工作有执行、有落实</w:t>
            </w:r>
          </w:p>
        </w:tc>
        <w:tc>
          <w:tcPr>
            <w:tcW w:w="1035"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hint="default" w:ascii="仿宋" w:hAnsi="仿宋" w:eastAsia="仿宋"/>
                <w:snapToGrid w:val="0"/>
                <w:spacing w:val="2"/>
                <w:sz w:val="24"/>
                <w:szCs w:val="24"/>
                <w:lang w:val="en-US" w:eastAsia="zh-CN"/>
              </w:rPr>
            </w:pPr>
            <w:r>
              <w:rPr>
                <w:rFonts w:hint="eastAsia" w:ascii="仿宋" w:hAnsi="仿宋" w:eastAsia="仿宋"/>
                <w:snapToGrid w:val="0"/>
                <w:spacing w:val="2"/>
                <w:sz w:val="24"/>
                <w:szCs w:val="24"/>
              </w:rPr>
              <w:t>≤</w:t>
            </w:r>
            <w:r>
              <w:rPr>
                <w:rFonts w:hint="eastAsia" w:ascii="仿宋" w:hAnsi="仿宋" w:eastAsia="仿宋"/>
                <w:snapToGrid w:val="0"/>
                <w:spacing w:val="2"/>
                <w:sz w:val="24"/>
                <w:szCs w:val="24"/>
                <w:lang w:val="en-US" w:eastAsia="zh-CN"/>
              </w:rPr>
              <w:t>30</w:t>
            </w:r>
          </w:p>
        </w:tc>
        <w:tc>
          <w:tcPr>
            <w:tcW w:w="1695" w:type="dxa"/>
            <w:tcBorders>
              <w:top w:val="single" w:color="auto" w:sz="4" w:space="0"/>
              <w:left w:val="single" w:color="auto" w:sz="4" w:space="0"/>
              <w:bottom w:val="single" w:color="auto" w:sz="4" w:space="0"/>
              <w:right w:val="single" w:color="auto" w:sz="4" w:space="0"/>
            </w:tcBorders>
          </w:tcPr>
          <w:p>
            <w:pPr>
              <w:spacing w:beforeLines="20" w:line="52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好，记30分；较好，记24-27分；</w:t>
            </w:r>
          </w:p>
          <w:p>
            <w:pPr>
              <w:spacing w:beforeLines="20" w:line="52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一般，记18-26分；差，记0-17分。</w:t>
            </w:r>
          </w:p>
        </w:tc>
        <w:tc>
          <w:tcPr>
            <w:tcW w:w="4965" w:type="dxa"/>
            <w:tcBorders>
              <w:top w:val="single" w:color="auto" w:sz="4" w:space="0"/>
              <w:left w:val="single" w:color="auto" w:sz="4" w:space="0"/>
              <w:bottom w:val="single" w:color="auto" w:sz="4" w:space="0"/>
              <w:right w:val="single" w:color="auto" w:sz="4" w:space="0"/>
            </w:tcBorders>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以工作量、工作记录和实际完成情况进行权衡打分。</w:t>
            </w:r>
          </w:p>
        </w:tc>
      </w:tr>
      <w:tr>
        <w:tblPrEx>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hint="eastAsia" w:ascii="仿宋" w:hAnsi="仿宋" w:eastAsia="仿宋"/>
                <w:snapToGrid w:val="0"/>
                <w:spacing w:val="2"/>
                <w:sz w:val="24"/>
                <w:szCs w:val="24"/>
                <w:lang w:val="en-US" w:eastAsia="zh-CN"/>
              </w:rPr>
            </w:pPr>
            <w:r>
              <w:rPr>
                <w:rFonts w:hint="eastAsia" w:ascii="仿宋" w:hAnsi="仿宋" w:eastAsia="仿宋"/>
                <w:snapToGrid w:val="0"/>
                <w:spacing w:val="2"/>
                <w:sz w:val="24"/>
                <w:szCs w:val="24"/>
                <w:lang w:val="en-US" w:eastAsia="zh-CN"/>
              </w:rPr>
              <w:t>3</w:t>
            </w:r>
          </w:p>
        </w:tc>
        <w:tc>
          <w:tcPr>
            <w:tcW w:w="1671"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工作有成果、有实效</w:t>
            </w:r>
          </w:p>
        </w:tc>
        <w:tc>
          <w:tcPr>
            <w:tcW w:w="1035"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w:t>
            </w:r>
            <w:r>
              <w:rPr>
                <w:rFonts w:hint="eastAsia" w:ascii="仿宋" w:hAnsi="仿宋" w:eastAsia="仿宋"/>
                <w:snapToGrid w:val="0"/>
                <w:spacing w:val="2"/>
                <w:sz w:val="24"/>
                <w:szCs w:val="24"/>
                <w:lang w:val="en-US" w:eastAsia="zh-CN"/>
              </w:rPr>
              <w:t>20</w:t>
            </w:r>
          </w:p>
        </w:tc>
        <w:tc>
          <w:tcPr>
            <w:tcW w:w="1695" w:type="dxa"/>
            <w:tcBorders>
              <w:top w:val="single" w:color="auto" w:sz="4" w:space="0"/>
              <w:left w:val="single" w:color="auto" w:sz="4" w:space="0"/>
              <w:bottom w:val="single" w:color="auto" w:sz="4" w:space="0"/>
              <w:right w:val="single" w:color="auto" w:sz="4" w:space="0"/>
            </w:tcBorders>
          </w:tcPr>
          <w:p>
            <w:pPr>
              <w:spacing w:beforeLines="20" w:line="52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好，记20分；较好，记16-18分；</w:t>
            </w:r>
          </w:p>
          <w:p>
            <w:pPr>
              <w:spacing w:beforeLines="20" w:line="52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一般，记12-15分；差，记0-11分。</w:t>
            </w:r>
          </w:p>
        </w:tc>
        <w:tc>
          <w:tcPr>
            <w:tcW w:w="4965" w:type="dxa"/>
            <w:tcBorders>
              <w:top w:val="single" w:color="auto" w:sz="4" w:space="0"/>
              <w:left w:val="single" w:color="auto" w:sz="4" w:space="0"/>
              <w:bottom w:val="single" w:color="auto" w:sz="4" w:space="0"/>
              <w:right w:val="single" w:color="auto" w:sz="4" w:space="0"/>
            </w:tcBorders>
          </w:tcPr>
          <w:p>
            <w:pPr>
              <w:spacing w:beforeLines="20" w:line="52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以工作量、工作总结和实际验证情况进行权衡打分。</w:t>
            </w:r>
          </w:p>
        </w:tc>
      </w:tr>
    </w:tbl>
    <w:p>
      <w:pPr>
        <w:topLinePunct/>
        <w:spacing w:line="520" w:lineRule="exact"/>
        <w:rPr>
          <w:rFonts w:hint="eastAsia" w:ascii="仿宋" w:hAnsi="仿宋" w:eastAsia="仿宋"/>
          <w:b/>
          <w:sz w:val="24"/>
          <w:szCs w:val="24"/>
        </w:rPr>
      </w:pPr>
    </w:p>
    <w:p>
      <w:pPr>
        <w:numPr>
          <w:ilvl w:val="0"/>
          <w:numId w:val="0"/>
        </w:numPr>
        <w:topLinePunct/>
        <w:spacing w:line="550" w:lineRule="exact"/>
        <w:rPr>
          <w:rFonts w:hint="eastAsia" w:ascii="仿宋" w:hAnsi="仿宋" w:eastAsia="仿宋"/>
          <w:b/>
          <w:sz w:val="24"/>
          <w:szCs w:val="24"/>
          <w:lang w:val="en-US" w:eastAsia="zh-CN"/>
        </w:rPr>
      </w:pPr>
      <w:r>
        <w:rPr>
          <w:rFonts w:hint="eastAsia" w:ascii="仿宋" w:hAnsi="仿宋" w:eastAsia="仿宋"/>
          <w:b/>
          <w:sz w:val="24"/>
          <w:szCs w:val="24"/>
          <w:lang w:val="en-US" w:eastAsia="zh-CN"/>
        </w:rPr>
        <w:t>2、事业部门</w:t>
      </w:r>
    </w:p>
    <w:tbl>
      <w:tblPr>
        <w:tblStyle w:val="3"/>
        <w:tblW w:w="10093" w:type="dxa"/>
        <w:jc w:val="center"/>
        <w:tblLayout w:type="fixed"/>
        <w:tblCellMar>
          <w:top w:w="0" w:type="dxa"/>
          <w:left w:w="108" w:type="dxa"/>
          <w:bottom w:w="0" w:type="dxa"/>
          <w:right w:w="108" w:type="dxa"/>
        </w:tblCellMar>
      </w:tblPr>
      <w:tblGrid>
        <w:gridCol w:w="735"/>
        <w:gridCol w:w="1665"/>
        <w:gridCol w:w="1065"/>
        <w:gridCol w:w="1680"/>
        <w:gridCol w:w="4948"/>
      </w:tblGrid>
      <w:tr>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序号</w:t>
            </w:r>
          </w:p>
        </w:tc>
        <w:tc>
          <w:tcPr>
            <w:tcW w:w="1665"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相关评价项</w:t>
            </w:r>
          </w:p>
        </w:tc>
        <w:tc>
          <w:tcPr>
            <w:tcW w:w="1065"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分值</w:t>
            </w:r>
          </w:p>
        </w:tc>
        <w:tc>
          <w:tcPr>
            <w:tcW w:w="1680" w:type="dxa"/>
            <w:tcBorders>
              <w:top w:val="single" w:color="auto" w:sz="4" w:space="0"/>
              <w:left w:val="nil"/>
              <w:bottom w:val="single" w:color="auto" w:sz="4" w:space="0"/>
              <w:right w:val="single" w:color="auto" w:sz="4" w:space="0"/>
            </w:tcBorders>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评</w:t>
            </w:r>
            <w:r>
              <w:rPr>
                <w:rFonts w:hint="eastAsia" w:ascii="仿宋" w:hAnsi="仿宋" w:eastAsia="仿宋"/>
                <w:b/>
                <w:bCs/>
                <w:snapToGrid w:val="0"/>
                <w:spacing w:val="2"/>
                <w:sz w:val="24"/>
                <w:szCs w:val="24"/>
                <w:lang w:eastAsia="zh-CN"/>
              </w:rPr>
              <w:t>分</w:t>
            </w:r>
            <w:r>
              <w:rPr>
                <w:rFonts w:hint="eastAsia" w:ascii="仿宋" w:hAnsi="仿宋" w:eastAsia="仿宋"/>
                <w:b/>
                <w:bCs/>
                <w:snapToGrid w:val="0"/>
                <w:spacing w:val="2"/>
                <w:sz w:val="24"/>
                <w:szCs w:val="24"/>
              </w:rPr>
              <w:t>标准</w:t>
            </w:r>
          </w:p>
        </w:tc>
        <w:tc>
          <w:tcPr>
            <w:tcW w:w="4948" w:type="dxa"/>
            <w:tcBorders>
              <w:top w:val="single" w:color="auto" w:sz="4" w:space="0"/>
              <w:left w:val="nil"/>
              <w:bottom w:val="single" w:color="auto" w:sz="4" w:space="0"/>
              <w:right w:val="single" w:color="auto" w:sz="4" w:space="0"/>
            </w:tcBorders>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lang w:eastAsia="zh-CN"/>
              </w:rPr>
              <w:t>评价</w:t>
            </w:r>
            <w:r>
              <w:rPr>
                <w:rFonts w:hint="eastAsia" w:ascii="仿宋" w:hAnsi="仿宋" w:eastAsia="仿宋"/>
                <w:b/>
                <w:bCs/>
                <w:snapToGrid w:val="0"/>
                <w:spacing w:val="2"/>
                <w:sz w:val="24"/>
                <w:szCs w:val="24"/>
              </w:rPr>
              <w:t>标准</w:t>
            </w:r>
          </w:p>
        </w:tc>
      </w:tr>
      <w:tr>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1</w:t>
            </w:r>
          </w:p>
        </w:tc>
        <w:tc>
          <w:tcPr>
            <w:tcW w:w="1665"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业务工作有方案</w:t>
            </w:r>
          </w:p>
        </w:tc>
        <w:tc>
          <w:tcPr>
            <w:tcW w:w="1065"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hint="default" w:ascii="仿宋" w:hAnsi="仿宋" w:eastAsia="仿宋"/>
                <w:snapToGrid w:val="0"/>
                <w:spacing w:val="2"/>
                <w:sz w:val="24"/>
                <w:szCs w:val="24"/>
                <w:lang w:val="en-US" w:eastAsia="zh-CN"/>
              </w:rPr>
            </w:pPr>
            <w:r>
              <w:rPr>
                <w:rFonts w:hint="eastAsia" w:ascii="仿宋" w:hAnsi="仿宋" w:eastAsia="仿宋"/>
                <w:snapToGrid w:val="0"/>
                <w:spacing w:val="2"/>
                <w:sz w:val="24"/>
                <w:szCs w:val="24"/>
              </w:rPr>
              <w:t>≤</w:t>
            </w:r>
            <w:r>
              <w:rPr>
                <w:rFonts w:hint="eastAsia" w:ascii="仿宋" w:hAnsi="仿宋" w:eastAsia="仿宋"/>
                <w:snapToGrid w:val="0"/>
                <w:spacing w:val="2"/>
                <w:sz w:val="24"/>
                <w:szCs w:val="24"/>
                <w:lang w:val="en-US" w:eastAsia="zh-CN"/>
              </w:rPr>
              <w:t>10</w:t>
            </w:r>
          </w:p>
        </w:tc>
        <w:tc>
          <w:tcPr>
            <w:tcW w:w="1680" w:type="dxa"/>
            <w:tcBorders>
              <w:top w:val="single" w:color="auto" w:sz="4" w:space="0"/>
              <w:left w:val="nil"/>
              <w:bottom w:val="single" w:color="auto" w:sz="4" w:space="0"/>
              <w:right w:val="single" w:color="auto" w:sz="4" w:space="0"/>
            </w:tcBorders>
          </w:tcPr>
          <w:p>
            <w:pPr>
              <w:spacing w:beforeLines="20" w:line="52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好，记10分；较好，记8-9分；</w:t>
            </w:r>
          </w:p>
          <w:p>
            <w:pPr>
              <w:spacing w:beforeLines="20" w:line="52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一般，记6-7分；差，记0-5分。</w:t>
            </w:r>
          </w:p>
        </w:tc>
        <w:tc>
          <w:tcPr>
            <w:tcW w:w="4948" w:type="dxa"/>
            <w:tcBorders>
              <w:top w:val="single" w:color="auto" w:sz="4" w:space="0"/>
              <w:left w:val="nil"/>
              <w:bottom w:val="single" w:color="auto" w:sz="4" w:space="0"/>
              <w:right w:val="single" w:color="auto" w:sz="4" w:space="0"/>
            </w:tcBorders>
          </w:tcPr>
          <w:p>
            <w:pPr>
              <w:spacing w:beforeLines="20" w:line="52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以具体资料情况进行权衡打分。</w:t>
            </w:r>
          </w:p>
        </w:tc>
      </w:tr>
      <w:tr>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2</w:t>
            </w:r>
          </w:p>
        </w:tc>
        <w:tc>
          <w:tcPr>
            <w:tcW w:w="1665"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业务实施有项目</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hint="default" w:ascii="仿宋" w:hAnsi="仿宋" w:eastAsia="仿宋"/>
                <w:snapToGrid w:val="0"/>
                <w:spacing w:val="2"/>
                <w:sz w:val="24"/>
                <w:szCs w:val="24"/>
                <w:lang w:val="en-US" w:eastAsia="zh-CN"/>
              </w:rPr>
            </w:pPr>
            <w:r>
              <w:rPr>
                <w:rFonts w:hint="eastAsia" w:ascii="仿宋" w:hAnsi="仿宋" w:eastAsia="仿宋"/>
                <w:snapToGrid w:val="0"/>
                <w:spacing w:val="2"/>
                <w:sz w:val="24"/>
                <w:szCs w:val="24"/>
              </w:rPr>
              <w:t>≤</w:t>
            </w:r>
            <w:r>
              <w:rPr>
                <w:rFonts w:hint="eastAsia" w:ascii="仿宋" w:hAnsi="仿宋" w:eastAsia="仿宋"/>
                <w:snapToGrid w:val="0"/>
                <w:spacing w:val="2"/>
                <w:sz w:val="24"/>
                <w:szCs w:val="24"/>
                <w:lang w:val="en-US" w:eastAsia="zh-CN"/>
              </w:rPr>
              <w:t>30</w:t>
            </w:r>
          </w:p>
        </w:tc>
        <w:tc>
          <w:tcPr>
            <w:tcW w:w="1680" w:type="dxa"/>
            <w:tcBorders>
              <w:top w:val="single" w:color="auto" w:sz="4" w:space="0"/>
              <w:left w:val="single" w:color="auto" w:sz="4" w:space="0"/>
              <w:bottom w:val="single" w:color="auto" w:sz="4" w:space="0"/>
              <w:right w:val="single" w:color="auto" w:sz="4" w:space="0"/>
            </w:tcBorders>
          </w:tcPr>
          <w:p>
            <w:pPr>
              <w:spacing w:beforeLines="20" w:line="52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好，记30分；较好，记24-27分；</w:t>
            </w:r>
          </w:p>
          <w:p>
            <w:pPr>
              <w:spacing w:beforeLines="20" w:line="52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一般，记18-26分；差，记0-17分。</w:t>
            </w:r>
          </w:p>
        </w:tc>
        <w:tc>
          <w:tcPr>
            <w:tcW w:w="4948" w:type="dxa"/>
            <w:tcBorders>
              <w:top w:val="single" w:color="auto" w:sz="4" w:space="0"/>
              <w:left w:val="single" w:color="auto" w:sz="4" w:space="0"/>
              <w:bottom w:val="single" w:color="auto" w:sz="4" w:space="0"/>
              <w:right w:val="single" w:color="auto" w:sz="4" w:space="0"/>
            </w:tcBorders>
          </w:tcPr>
          <w:p>
            <w:pPr>
              <w:spacing w:beforeLines="20" w:line="52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以参与程度、实际项目及可行性情况进行权衡打分。</w:t>
            </w:r>
          </w:p>
        </w:tc>
      </w:tr>
      <w:tr>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hint="eastAsia" w:ascii="仿宋" w:hAnsi="仿宋" w:eastAsia="仿宋"/>
                <w:snapToGrid w:val="0"/>
                <w:spacing w:val="2"/>
                <w:sz w:val="24"/>
                <w:szCs w:val="24"/>
                <w:lang w:val="en-US" w:eastAsia="zh-CN"/>
              </w:rPr>
            </w:pPr>
            <w:r>
              <w:rPr>
                <w:rFonts w:hint="eastAsia" w:ascii="仿宋" w:hAnsi="仿宋" w:eastAsia="仿宋"/>
                <w:snapToGrid w:val="0"/>
                <w:spacing w:val="2"/>
                <w:sz w:val="24"/>
                <w:szCs w:val="24"/>
                <w:lang w:val="en-US" w:eastAsia="zh-CN"/>
              </w:rPr>
              <w:t>3</w:t>
            </w:r>
          </w:p>
        </w:tc>
        <w:tc>
          <w:tcPr>
            <w:tcW w:w="1665"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业务成单有合同</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w:t>
            </w:r>
            <w:r>
              <w:rPr>
                <w:rFonts w:hint="eastAsia" w:ascii="仿宋" w:hAnsi="仿宋" w:eastAsia="仿宋"/>
                <w:snapToGrid w:val="0"/>
                <w:spacing w:val="2"/>
                <w:sz w:val="24"/>
                <w:szCs w:val="24"/>
                <w:lang w:val="en-US" w:eastAsia="zh-CN"/>
              </w:rPr>
              <w:t>20</w:t>
            </w:r>
          </w:p>
        </w:tc>
        <w:tc>
          <w:tcPr>
            <w:tcW w:w="1680" w:type="dxa"/>
            <w:tcBorders>
              <w:top w:val="single" w:color="auto" w:sz="4" w:space="0"/>
              <w:left w:val="single" w:color="auto" w:sz="4" w:space="0"/>
              <w:bottom w:val="single" w:color="auto" w:sz="4" w:space="0"/>
              <w:right w:val="single" w:color="auto" w:sz="4" w:space="0"/>
            </w:tcBorders>
          </w:tcPr>
          <w:p>
            <w:pPr>
              <w:spacing w:beforeLines="20" w:line="52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好，记20分；较好，记16-18分；</w:t>
            </w:r>
          </w:p>
          <w:p>
            <w:pPr>
              <w:spacing w:beforeLines="20" w:line="52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一般，记12-15分；差，记0-11分。</w:t>
            </w:r>
          </w:p>
        </w:tc>
        <w:tc>
          <w:tcPr>
            <w:tcW w:w="4948" w:type="dxa"/>
            <w:tcBorders>
              <w:top w:val="single" w:color="auto" w:sz="4" w:space="0"/>
              <w:left w:val="single" w:color="auto" w:sz="4" w:space="0"/>
              <w:bottom w:val="single" w:color="auto" w:sz="4" w:space="0"/>
              <w:right w:val="single" w:color="auto" w:sz="4" w:space="0"/>
            </w:tcBorders>
          </w:tcPr>
          <w:p>
            <w:pPr>
              <w:spacing w:beforeLines="20" w:line="52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以合同带来的净利润和按月应完成的目标情况、参与程度情况进行权衡打分。</w:t>
            </w:r>
          </w:p>
        </w:tc>
      </w:tr>
    </w:tbl>
    <w:p>
      <w:pPr>
        <w:topLinePunct/>
        <w:spacing w:line="520" w:lineRule="exact"/>
        <w:rPr>
          <w:rFonts w:hint="eastAsia" w:ascii="仿宋" w:hAnsi="仿宋" w:eastAsia="仿宋"/>
          <w:b/>
          <w:sz w:val="24"/>
          <w:szCs w:val="24"/>
        </w:rPr>
      </w:pPr>
    </w:p>
    <w:p>
      <w:pPr>
        <w:topLinePunct/>
        <w:spacing w:line="520" w:lineRule="exact"/>
        <w:rPr>
          <w:rFonts w:ascii="仿宋" w:hAnsi="仿宋" w:eastAsia="仿宋"/>
          <w:b/>
          <w:sz w:val="24"/>
          <w:szCs w:val="24"/>
        </w:rPr>
      </w:pPr>
      <w:r>
        <w:rPr>
          <w:rFonts w:hint="eastAsia" w:ascii="仿宋" w:hAnsi="仿宋" w:eastAsia="仿宋"/>
          <w:b/>
          <w:sz w:val="24"/>
          <w:szCs w:val="24"/>
        </w:rPr>
        <w:t>（三）</w:t>
      </w:r>
      <w:r>
        <w:rPr>
          <w:rFonts w:hint="eastAsia" w:ascii="仿宋" w:hAnsi="仿宋" w:eastAsia="仿宋"/>
          <w:b/>
          <w:sz w:val="24"/>
          <w:szCs w:val="24"/>
          <w:lang w:eastAsia="zh-CN"/>
        </w:rPr>
        <w:t>加分项目</w:t>
      </w:r>
      <w:r>
        <w:rPr>
          <w:rFonts w:hint="eastAsia" w:ascii="仿宋" w:hAnsi="仿宋" w:eastAsia="仿宋"/>
          <w:b/>
          <w:sz w:val="24"/>
          <w:szCs w:val="24"/>
        </w:rPr>
        <w:t>（</w:t>
      </w:r>
      <w:r>
        <w:rPr>
          <w:rFonts w:hint="eastAsia" w:ascii="仿宋" w:hAnsi="仿宋" w:eastAsia="仿宋"/>
          <w:b/>
          <w:sz w:val="24"/>
          <w:szCs w:val="24"/>
          <w:lang w:eastAsia="zh-CN"/>
        </w:rPr>
        <w:t>不设上限</w:t>
      </w:r>
      <w:r>
        <w:rPr>
          <w:rFonts w:hint="eastAsia" w:ascii="仿宋" w:hAnsi="仿宋" w:eastAsia="仿宋"/>
          <w:b/>
          <w:sz w:val="24"/>
          <w:szCs w:val="24"/>
        </w:rPr>
        <w:t>）</w:t>
      </w:r>
    </w:p>
    <w:tbl>
      <w:tblPr>
        <w:tblStyle w:val="3"/>
        <w:tblW w:w="9912" w:type="dxa"/>
        <w:jc w:val="center"/>
        <w:tblLayout w:type="fixed"/>
        <w:tblCellMar>
          <w:top w:w="0" w:type="dxa"/>
          <w:left w:w="108" w:type="dxa"/>
          <w:bottom w:w="0" w:type="dxa"/>
          <w:right w:w="108" w:type="dxa"/>
        </w:tblCellMar>
      </w:tblPr>
      <w:tblGrid>
        <w:gridCol w:w="884"/>
        <w:gridCol w:w="1993"/>
        <w:gridCol w:w="1245"/>
        <w:gridCol w:w="1995"/>
        <w:gridCol w:w="3795"/>
      </w:tblGrid>
      <w:tr>
        <w:tblPrEx>
          <w:tblCellMar>
            <w:top w:w="0" w:type="dxa"/>
            <w:left w:w="108" w:type="dxa"/>
            <w:bottom w:w="0" w:type="dxa"/>
            <w:right w:w="108" w:type="dxa"/>
          </w:tblCellMar>
        </w:tblPrEx>
        <w:trPr>
          <w:trHeight w:val="56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序号</w:t>
            </w:r>
          </w:p>
        </w:tc>
        <w:tc>
          <w:tcPr>
            <w:tcW w:w="1993"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ascii="仿宋" w:hAnsi="仿宋" w:eastAsia="仿宋"/>
                <w:b/>
                <w:bCs/>
                <w:snapToGrid w:val="0"/>
                <w:spacing w:val="2"/>
                <w:sz w:val="24"/>
                <w:szCs w:val="24"/>
              </w:rPr>
            </w:pPr>
            <w:bookmarkStart w:id="10" w:name="_GoBack"/>
            <w:bookmarkEnd w:id="10"/>
            <w:r>
              <w:rPr>
                <w:rFonts w:hint="eastAsia" w:ascii="仿宋" w:hAnsi="仿宋" w:eastAsia="仿宋"/>
                <w:b/>
                <w:bCs/>
                <w:snapToGrid w:val="0"/>
                <w:spacing w:val="2"/>
                <w:sz w:val="24"/>
                <w:szCs w:val="24"/>
              </w:rPr>
              <w:t>相关评价项</w:t>
            </w:r>
          </w:p>
        </w:tc>
        <w:tc>
          <w:tcPr>
            <w:tcW w:w="1245"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分值</w:t>
            </w:r>
          </w:p>
        </w:tc>
        <w:tc>
          <w:tcPr>
            <w:tcW w:w="1995" w:type="dxa"/>
            <w:tcBorders>
              <w:top w:val="single" w:color="auto" w:sz="4" w:space="0"/>
              <w:left w:val="nil"/>
              <w:bottom w:val="single" w:color="auto" w:sz="4" w:space="0"/>
              <w:right w:val="single" w:color="auto" w:sz="4" w:space="0"/>
            </w:tcBorders>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评价标准</w:t>
            </w:r>
          </w:p>
        </w:tc>
        <w:tc>
          <w:tcPr>
            <w:tcW w:w="3795" w:type="dxa"/>
            <w:tcBorders>
              <w:top w:val="single" w:color="auto" w:sz="4" w:space="0"/>
              <w:left w:val="nil"/>
              <w:bottom w:val="single" w:color="auto" w:sz="4" w:space="0"/>
              <w:right w:val="single" w:color="auto" w:sz="4" w:space="0"/>
            </w:tcBorders>
          </w:tcPr>
          <w:p>
            <w:pPr>
              <w:spacing w:beforeLines="20" w:line="52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lang w:eastAsia="zh-CN"/>
              </w:rPr>
              <w:t>加</w:t>
            </w:r>
            <w:r>
              <w:rPr>
                <w:rFonts w:hint="eastAsia" w:ascii="仿宋" w:hAnsi="仿宋" w:eastAsia="仿宋"/>
                <w:b/>
                <w:bCs/>
                <w:snapToGrid w:val="0"/>
                <w:spacing w:val="2"/>
                <w:sz w:val="24"/>
                <w:szCs w:val="24"/>
              </w:rPr>
              <w:t>分标准</w:t>
            </w:r>
          </w:p>
        </w:tc>
      </w:tr>
      <w:tr>
        <w:tblPrEx>
          <w:tblCellMar>
            <w:top w:w="0" w:type="dxa"/>
            <w:left w:w="108" w:type="dxa"/>
            <w:bottom w:w="0" w:type="dxa"/>
            <w:right w:w="108" w:type="dxa"/>
          </w:tblCellMar>
        </w:tblPrEx>
        <w:trPr>
          <w:trHeight w:val="198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1</w:t>
            </w:r>
          </w:p>
        </w:tc>
        <w:tc>
          <w:tcPr>
            <w:tcW w:w="1993"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稳固老会员</w:t>
            </w:r>
          </w:p>
        </w:tc>
        <w:tc>
          <w:tcPr>
            <w:tcW w:w="1245" w:type="dxa"/>
            <w:tcBorders>
              <w:top w:val="single" w:color="auto" w:sz="4" w:space="0"/>
              <w:left w:val="nil"/>
              <w:bottom w:val="single" w:color="auto" w:sz="4" w:space="0"/>
              <w:right w:val="single" w:color="auto" w:sz="4" w:space="0"/>
            </w:tcBorders>
            <w:vAlign w:val="center"/>
          </w:tcPr>
          <w:p>
            <w:pPr>
              <w:spacing w:beforeLines="20" w:line="520" w:lineRule="exact"/>
              <w:jc w:val="center"/>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lang w:eastAsia="zh-CN"/>
              </w:rPr>
              <w:t>不设上限</w:t>
            </w:r>
          </w:p>
        </w:tc>
        <w:tc>
          <w:tcPr>
            <w:tcW w:w="1995" w:type="dxa"/>
            <w:tcBorders>
              <w:top w:val="single" w:color="auto" w:sz="4" w:space="0"/>
              <w:left w:val="nil"/>
              <w:bottom w:val="single" w:color="auto" w:sz="4" w:space="0"/>
              <w:right w:val="single" w:color="auto" w:sz="4" w:space="0"/>
            </w:tcBorders>
          </w:tcPr>
          <w:p>
            <w:pPr>
              <w:spacing w:beforeLines="20" w:line="52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稳固率个人超过80%的,每多一个百分点,其年度绩效考核平均分加1分;部门整体超过80%的,每多一个百分点,部门负责人年度绩效考核平均分加0.5分。</w:t>
            </w:r>
          </w:p>
        </w:tc>
        <w:tc>
          <w:tcPr>
            <w:tcW w:w="3795" w:type="dxa"/>
            <w:tcBorders>
              <w:top w:val="single" w:color="auto" w:sz="4" w:space="0"/>
              <w:left w:val="single" w:color="auto" w:sz="4" w:space="0"/>
              <w:bottom w:val="single" w:color="auto" w:sz="4" w:space="0"/>
              <w:right w:val="single" w:color="auto" w:sz="4" w:space="0"/>
            </w:tcBorders>
          </w:tcPr>
          <w:p>
            <w:pPr>
              <w:spacing w:beforeLines="20" w:line="520" w:lineRule="exact"/>
              <w:jc w:val="left"/>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rPr>
              <w:t>年内，老会员（指2017年12月31日前发展的会员)稳固率</w:t>
            </w:r>
            <w:r>
              <w:rPr>
                <w:rFonts w:hint="eastAsia" w:ascii="仿宋" w:hAnsi="仿宋" w:eastAsia="仿宋"/>
                <w:snapToGrid w:val="0"/>
                <w:spacing w:val="2"/>
                <w:sz w:val="24"/>
                <w:szCs w:val="24"/>
                <w:lang w:eastAsia="zh-CN"/>
              </w:rPr>
              <w:t>。</w:t>
            </w:r>
          </w:p>
        </w:tc>
      </w:tr>
      <w:tr>
        <w:tblPrEx>
          <w:tblCellMar>
            <w:top w:w="0" w:type="dxa"/>
            <w:left w:w="108" w:type="dxa"/>
            <w:bottom w:w="0" w:type="dxa"/>
            <w:right w:w="108" w:type="dxa"/>
          </w:tblCellMar>
        </w:tblPrEx>
        <w:trPr>
          <w:trHeight w:val="142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55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2</w:t>
            </w:r>
          </w:p>
        </w:tc>
        <w:tc>
          <w:tcPr>
            <w:tcW w:w="1993" w:type="dxa"/>
            <w:tcBorders>
              <w:top w:val="single" w:color="auto" w:sz="4" w:space="0"/>
              <w:left w:val="single" w:color="auto" w:sz="4" w:space="0"/>
              <w:bottom w:val="single" w:color="auto" w:sz="4" w:space="0"/>
              <w:right w:val="single" w:color="auto" w:sz="4" w:space="0"/>
            </w:tcBorders>
            <w:vAlign w:val="center"/>
          </w:tcPr>
          <w:p>
            <w:pPr>
              <w:spacing w:beforeLines="20" w:line="55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发展新会员</w:t>
            </w:r>
          </w:p>
        </w:tc>
        <w:tc>
          <w:tcPr>
            <w:tcW w:w="1245" w:type="dxa"/>
            <w:tcBorders>
              <w:top w:val="single" w:color="auto" w:sz="4" w:space="0"/>
              <w:left w:val="single" w:color="auto" w:sz="4" w:space="0"/>
              <w:bottom w:val="single" w:color="auto" w:sz="4" w:space="0"/>
              <w:right w:val="single" w:color="auto" w:sz="4" w:space="0"/>
            </w:tcBorders>
            <w:vAlign w:val="center"/>
          </w:tcPr>
          <w:p>
            <w:pPr>
              <w:spacing w:beforeLines="20" w:line="550" w:lineRule="exact"/>
              <w:jc w:val="center"/>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lang w:eastAsia="zh-CN"/>
              </w:rPr>
              <w:t>不设上限</w:t>
            </w:r>
          </w:p>
        </w:tc>
        <w:tc>
          <w:tcPr>
            <w:tcW w:w="1995" w:type="dxa"/>
            <w:tcBorders>
              <w:top w:val="single" w:color="auto" w:sz="4" w:space="0"/>
              <w:left w:val="single" w:color="auto" w:sz="4" w:space="0"/>
              <w:bottom w:val="single" w:color="auto" w:sz="4" w:space="0"/>
              <w:right w:val="single" w:color="auto" w:sz="4" w:space="0"/>
            </w:tcBorders>
          </w:tcPr>
          <w:p>
            <w:pPr>
              <w:spacing w:beforeLines="20" w:line="55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新发展普通会员、理（监）事、副会长并且收到一年会费的分别加5分、10分、20分，如三年一次性交费的分别再加3分、6分、9分。</w:t>
            </w:r>
          </w:p>
        </w:tc>
        <w:tc>
          <w:tcPr>
            <w:tcW w:w="3795" w:type="dxa"/>
            <w:tcBorders>
              <w:top w:val="single" w:color="auto" w:sz="4" w:space="0"/>
              <w:left w:val="single" w:color="auto" w:sz="4" w:space="0"/>
              <w:bottom w:val="single" w:color="auto" w:sz="4" w:space="0"/>
              <w:right w:val="single" w:color="auto" w:sz="4" w:space="0"/>
            </w:tcBorders>
          </w:tcPr>
          <w:p>
            <w:pPr>
              <w:spacing w:beforeLines="20" w:line="550" w:lineRule="exact"/>
              <w:jc w:val="center"/>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rPr>
              <w:t>发展新会员并收到会费</w:t>
            </w:r>
            <w:r>
              <w:rPr>
                <w:rFonts w:hint="eastAsia" w:ascii="仿宋" w:hAnsi="仿宋" w:eastAsia="仿宋"/>
                <w:snapToGrid w:val="0"/>
                <w:spacing w:val="2"/>
                <w:sz w:val="24"/>
                <w:szCs w:val="24"/>
                <w:lang w:eastAsia="zh-CN"/>
              </w:rPr>
              <w:t>。</w:t>
            </w:r>
          </w:p>
        </w:tc>
      </w:tr>
      <w:tr>
        <w:tblPrEx>
          <w:tblCellMar>
            <w:top w:w="0" w:type="dxa"/>
            <w:left w:w="108" w:type="dxa"/>
            <w:bottom w:w="0" w:type="dxa"/>
            <w:right w:w="108" w:type="dxa"/>
          </w:tblCellMar>
        </w:tblPrEx>
        <w:trPr>
          <w:trHeight w:val="142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550" w:lineRule="exact"/>
              <w:jc w:val="center"/>
              <w:rPr>
                <w:rFonts w:hint="eastAsia" w:ascii="仿宋" w:hAnsi="仿宋" w:eastAsia="仿宋"/>
                <w:snapToGrid w:val="0"/>
                <w:spacing w:val="2"/>
                <w:sz w:val="24"/>
                <w:szCs w:val="24"/>
                <w:lang w:val="en-US" w:eastAsia="zh-CN"/>
              </w:rPr>
            </w:pPr>
            <w:r>
              <w:rPr>
                <w:rFonts w:hint="eastAsia" w:ascii="仿宋" w:hAnsi="仿宋" w:eastAsia="仿宋"/>
                <w:snapToGrid w:val="0"/>
                <w:spacing w:val="2"/>
                <w:sz w:val="24"/>
                <w:szCs w:val="24"/>
                <w:lang w:val="en-US" w:eastAsia="zh-CN"/>
              </w:rPr>
              <w:t>3</w:t>
            </w:r>
          </w:p>
        </w:tc>
        <w:tc>
          <w:tcPr>
            <w:tcW w:w="1993" w:type="dxa"/>
            <w:tcBorders>
              <w:top w:val="single" w:color="auto" w:sz="4" w:space="0"/>
              <w:left w:val="single" w:color="auto" w:sz="4" w:space="0"/>
              <w:bottom w:val="single" w:color="auto" w:sz="4" w:space="0"/>
              <w:right w:val="single" w:color="auto" w:sz="4" w:space="0"/>
            </w:tcBorders>
            <w:vAlign w:val="center"/>
          </w:tcPr>
          <w:p>
            <w:pPr>
              <w:spacing w:beforeLines="20" w:line="550" w:lineRule="exact"/>
              <w:jc w:val="center"/>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lang w:eastAsia="zh-CN"/>
              </w:rPr>
              <w:t>其他</w:t>
            </w:r>
          </w:p>
        </w:tc>
        <w:tc>
          <w:tcPr>
            <w:tcW w:w="1245" w:type="dxa"/>
            <w:tcBorders>
              <w:top w:val="single" w:color="auto" w:sz="4" w:space="0"/>
              <w:left w:val="single" w:color="auto" w:sz="4" w:space="0"/>
              <w:bottom w:val="single" w:color="auto" w:sz="4" w:space="0"/>
              <w:right w:val="single" w:color="auto" w:sz="4" w:space="0"/>
            </w:tcBorders>
            <w:vAlign w:val="center"/>
          </w:tcPr>
          <w:p>
            <w:pPr>
              <w:spacing w:beforeLines="20" w:line="550" w:lineRule="exact"/>
              <w:jc w:val="center"/>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lang w:eastAsia="zh-CN"/>
              </w:rPr>
              <w:t>不设上限</w:t>
            </w:r>
          </w:p>
        </w:tc>
        <w:tc>
          <w:tcPr>
            <w:tcW w:w="1995" w:type="dxa"/>
            <w:tcBorders>
              <w:top w:val="single" w:color="auto" w:sz="4" w:space="0"/>
              <w:left w:val="single" w:color="auto" w:sz="4" w:space="0"/>
              <w:bottom w:val="single" w:color="auto" w:sz="4" w:space="0"/>
              <w:right w:val="single" w:color="auto" w:sz="4" w:space="0"/>
            </w:tcBorders>
          </w:tcPr>
          <w:p>
            <w:pPr>
              <w:spacing w:beforeLines="20" w:line="55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lang w:eastAsia="zh-CN"/>
              </w:rPr>
              <w:t>视具体情况进行加分。</w:t>
            </w:r>
          </w:p>
        </w:tc>
        <w:tc>
          <w:tcPr>
            <w:tcW w:w="3795" w:type="dxa"/>
            <w:tcBorders>
              <w:top w:val="single" w:color="auto" w:sz="4" w:space="0"/>
              <w:left w:val="single" w:color="auto" w:sz="4" w:space="0"/>
              <w:bottom w:val="single" w:color="auto" w:sz="4" w:space="0"/>
              <w:right w:val="single" w:color="auto" w:sz="4" w:space="0"/>
            </w:tcBorders>
          </w:tcPr>
          <w:p>
            <w:pPr>
              <w:spacing w:beforeLines="20" w:line="55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开展会员服务活动、争取政府专项资金、建立有影响力的宣传或服务平台、为秘书处创造效益等方面完成岗位工作任务以外的</w:t>
            </w:r>
          </w:p>
        </w:tc>
      </w:tr>
    </w:tbl>
    <w:p>
      <w:pPr>
        <w:topLinePunct/>
        <w:rPr>
          <w:rFonts w:ascii="仿宋" w:hAnsi="仿宋" w:eastAsia="仿宋"/>
          <w:b/>
          <w:sz w:val="24"/>
          <w:szCs w:val="24"/>
        </w:rPr>
      </w:pPr>
      <w:r>
        <w:rPr>
          <w:rFonts w:hint="eastAsia" w:ascii="仿宋" w:hAnsi="仿宋" w:eastAsia="仿宋"/>
          <w:b/>
          <w:sz w:val="24"/>
          <w:szCs w:val="24"/>
        </w:rPr>
        <w:t>（四）</w:t>
      </w:r>
      <w:r>
        <w:rPr>
          <w:rFonts w:hint="eastAsia" w:ascii="仿宋" w:hAnsi="仿宋" w:eastAsia="仿宋"/>
          <w:b/>
          <w:sz w:val="24"/>
          <w:szCs w:val="24"/>
          <w:lang w:eastAsia="zh-CN"/>
        </w:rPr>
        <w:t>减分项目</w:t>
      </w:r>
      <w:r>
        <w:rPr>
          <w:rFonts w:hint="eastAsia" w:ascii="仿宋" w:hAnsi="仿宋" w:eastAsia="仿宋"/>
          <w:b/>
          <w:sz w:val="24"/>
          <w:szCs w:val="24"/>
        </w:rPr>
        <w:t>（</w:t>
      </w:r>
      <w:r>
        <w:rPr>
          <w:rFonts w:hint="eastAsia" w:ascii="仿宋" w:hAnsi="仿宋" w:eastAsia="仿宋"/>
          <w:b/>
          <w:sz w:val="24"/>
          <w:szCs w:val="24"/>
          <w:lang w:eastAsia="zh-CN"/>
        </w:rPr>
        <w:t>不设下限</w:t>
      </w:r>
      <w:r>
        <w:rPr>
          <w:rFonts w:hint="eastAsia" w:ascii="仿宋" w:hAnsi="仿宋" w:eastAsia="仿宋"/>
          <w:b/>
          <w:sz w:val="24"/>
          <w:szCs w:val="24"/>
        </w:rPr>
        <w:t>）</w:t>
      </w:r>
    </w:p>
    <w:tbl>
      <w:tblPr>
        <w:tblStyle w:val="3"/>
        <w:tblW w:w="10212" w:type="dxa"/>
        <w:jc w:val="center"/>
        <w:tblLayout w:type="fixed"/>
        <w:tblCellMar>
          <w:top w:w="0" w:type="dxa"/>
          <w:left w:w="108" w:type="dxa"/>
          <w:bottom w:w="0" w:type="dxa"/>
          <w:right w:w="108" w:type="dxa"/>
        </w:tblCellMar>
      </w:tblPr>
      <w:tblGrid>
        <w:gridCol w:w="884"/>
        <w:gridCol w:w="2849"/>
        <w:gridCol w:w="992"/>
        <w:gridCol w:w="2847"/>
        <w:gridCol w:w="2640"/>
      </w:tblGrid>
      <w:tr>
        <w:tblPrEx>
          <w:tblCellMar>
            <w:top w:w="0" w:type="dxa"/>
            <w:left w:w="108" w:type="dxa"/>
            <w:bottom w:w="0" w:type="dxa"/>
            <w:right w:w="108" w:type="dxa"/>
          </w:tblCellMar>
        </w:tblPrEx>
        <w:trPr>
          <w:trHeight w:val="56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ascii="仿宋" w:hAnsi="仿宋" w:eastAsia="仿宋"/>
                <w:b/>
                <w:bCs/>
                <w:snapToGrid w:val="0"/>
                <w:spacing w:val="2"/>
                <w:sz w:val="24"/>
                <w:szCs w:val="24"/>
              </w:rPr>
            </w:pPr>
            <w:bookmarkStart w:id="9" w:name="_Toc4692"/>
            <w:r>
              <w:rPr>
                <w:rFonts w:hint="eastAsia" w:ascii="仿宋" w:hAnsi="仿宋" w:eastAsia="仿宋"/>
                <w:b/>
                <w:bCs/>
                <w:snapToGrid w:val="0"/>
                <w:spacing w:val="2"/>
                <w:sz w:val="24"/>
                <w:szCs w:val="24"/>
              </w:rPr>
              <w:t>序号</w:t>
            </w:r>
          </w:p>
        </w:tc>
        <w:tc>
          <w:tcPr>
            <w:tcW w:w="2849" w:type="dxa"/>
            <w:tcBorders>
              <w:top w:val="single" w:color="auto" w:sz="4" w:space="0"/>
              <w:left w:val="nil"/>
              <w:bottom w:val="single" w:color="auto" w:sz="4" w:space="0"/>
              <w:right w:val="single" w:color="auto" w:sz="4" w:space="0"/>
            </w:tcBorders>
            <w:vAlign w:val="center"/>
          </w:tcPr>
          <w:p>
            <w:pPr>
              <w:spacing w:beforeLines="20" w:line="64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相关评价项</w:t>
            </w:r>
          </w:p>
        </w:tc>
        <w:tc>
          <w:tcPr>
            <w:tcW w:w="992" w:type="dxa"/>
            <w:tcBorders>
              <w:top w:val="single" w:color="auto" w:sz="4" w:space="0"/>
              <w:left w:val="nil"/>
              <w:bottom w:val="single" w:color="auto" w:sz="4" w:space="0"/>
              <w:right w:val="single" w:color="auto" w:sz="4" w:space="0"/>
            </w:tcBorders>
            <w:vAlign w:val="center"/>
          </w:tcPr>
          <w:p>
            <w:pPr>
              <w:spacing w:beforeLines="20" w:line="64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分值</w:t>
            </w:r>
          </w:p>
        </w:tc>
        <w:tc>
          <w:tcPr>
            <w:tcW w:w="2847" w:type="dxa"/>
            <w:tcBorders>
              <w:top w:val="single" w:color="auto" w:sz="4" w:space="0"/>
              <w:left w:val="nil"/>
              <w:bottom w:val="single" w:color="auto" w:sz="4" w:space="0"/>
              <w:right w:val="single" w:color="auto" w:sz="4" w:space="0"/>
            </w:tcBorders>
          </w:tcPr>
          <w:p>
            <w:pPr>
              <w:spacing w:beforeLines="20" w:line="64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评价标准</w:t>
            </w:r>
          </w:p>
        </w:tc>
        <w:tc>
          <w:tcPr>
            <w:tcW w:w="2640" w:type="dxa"/>
            <w:tcBorders>
              <w:top w:val="single" w:color="auto" w:sz="4" w:space="0"/>
              <w:left w:val="nil"/>
              <w:bottom w:val="single" w:color="auto" w:sz="4" w:space="0"/>
              <w:right w:val="single" w:color="auto" w:sz="4" w:space="0"/>
            </w:tcBorders>
          </w:tcPr>
          <w:p>
            <w:pPr>
              <w:spacing w:beforeLines="20" w:line="640" w:lineRule="exact"/>
              <w:jc w:val="center"/>
              <w:rPr>
                <w:rFonts w:ascii="仿宋" w:hAnsi="仿宋" w:eastAsia="仿宋"/>
                <w:b/>
                <w:bCs/>
                <w:snapToGrid w:val="0"/>
                <w:spacing w:val="2"/>
                <w:sz w:val="24"/>
                <w:szCs w:val="24"/>
              </w:rPr>
            </w:pPr>
            <w:r>
              <w:rPr>
                <w:rFonts w:hint="eastAsia" w:ascii="仿宋" w:hAnsi="仿宋" w:eastAsia="仿宋"/>
                <w:b/>
                <w:bCs/>
                <w:snapToGrid w:val="0"/>
                <w:spacing w:val="2"/>
                <w:sz w:val="24"/>
                <w:szCs w:val="24"/>
              </w:rPr>
              <w:t>扣分标准</w:t>
            </w:r>
          </w:p>
        </w:tc>
      </w:tr>
      <w:tr>
        <w:tblPrEx>
          <w:tblCellMar>
            <w:top w:w="0" w:type="dxa"/>
            <w:left w:w="108" w:type="dxa"/>
            <w:bottom w:w="0" w:type="dxa"/>
            <w:right w:w="108" w:type="dxa"/>
          </w:tblCellMar>
        </w:tblPrEx>
        <w:trPr>
          <w:trHeight w:val="198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1</w:t>
            </w:r>
          </w:p>
        </w:tc>
        <w:tc>
          <w:tcPr>
            <w:tcW w:w="2849" w:type="dxa"/>
            <w:tcBorders>
              <w:top w:val="single" w:color="auto" w:sz="4" w:space="0"/>
              <w:left w:val="nil"/>
              <w:bottom w:val="single" w:color="auto" w:sz="4" w:space="0"/>
              <w:right w:val="single" w:color="auto" w:sz="4" w:space="0"/>
            </w:tcBorders>
            <w:vAlign w:val="center"/>
          </w:tcPr>
          <w:p>
            <w:pPr>
              <w:spacing w:beforeLines="20" w:line="64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稳固老会员</w:t>
            </w:r>
          </w:p>
        </w:tc>
        <w:tc>
          <w:tcPr>
            <w:tcW w:w="992" w:type="dxa"/>
            <w:tcBorders>
              <w:top w:val="single" w:color="auto" w:sz="4" w:space="0"/>
              <w:left w:val="nil"/>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lang w:eastAsia="zh-CN"/>
              </w:rPr>
              <w:t>不设下限</w:t>
            </w:r>
          </w:p>
        </w:tc>
        <w:tc>
          <w:tcPr>
            <w:tcW w:w="2847" w:type="dxa"/>
            <w:tcBorders>
              <w:top w:val="single" w:color="auto" w:sz="4" w:space="0"/>
              <w:left w:val="nil"/>
              <w:bottom w:val="single" w:color="auto" w:sz="4" w:space="0"/>
              <w:right w:val="single" w:color="auto" w:sz="4" w:space="0"/>
            </w:tcBorders>
          </w:tcPr>
          <w:p>
            <w:pPr>
              <w:spacing w:beforeLines="20" w:line="64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个人低于80%的，每少一个百分点,其年度绩效考核平均分减1分;部门整体低于80%的,部门负责人年度绩效考核平均分减0.5分。</w:t>
            </w:r>
          </w:p>
        </w:tc>
        <w:tc>
          <w:tcPr>
            <w:tcW w:w="2640" w:type="dxa"/>
            <w:tcBorders>
              <w:top w:val="single" w:color="auto" w:sz="4" w:space="0"/>
              <w:left w:val="nil"/>
              <w:bottom w:val="single" w:color="auto" w:sz="4" w:space="0"/>
              <w:right w:val="single" w:color="auto" w:sz="4" w:space="0"/>
            </w:tcBorders>
          </w:tcPr>
          <w:p>
            <w:pPr>
              <w:spacing w:beforeLines="20" w:line="640" w:lineRule="exact"/>
              <w:jc w:val="left"/>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rPr>
              <w:t>年内，老会员（指2017年12月31日前发展的会员)稳固率</w:t>
            </w:r>
            <w:r>
              <w:rPr>
                <w:rFonts w:hint="eastAsia" w:ascii="仿宋" w:hAnsi="仿宋" w:eastAsia="仿宋"/>
                <w:snapToGrid w:val="0"/>
                <w:spacing w:val="2"/>
                <w:sz w:val="24"/>
                <w:szCs w:val="24"/>
                <w:lang w:eastAsia="zh-CN"/>
              </w:rPr>
              <w:t>。</w:t>
            </w:r>
          </w:p>
        </w:tc>
      </w:tr>
      <w:tr>
        <w:tblPrEx>
          <w:tblCellMar>
            <w:top w:w="0" w:type="dxa"/>
            <w:left w:w="108" w:type="dxa"/>
            <w:bottom w:w="0" w:type="dxa"/>
            <w:right w:w="108" w:type="dxa"/>
          </w:tblCellMar>
        </w:tblPrEx>
        <w:trPr>
          <w:trHeight w:val="142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2</w:t>
            </w:r>
          </w:p>
        </w:tc>
        <w:tc>
          <w:tcPr>
            <w:tcW w:w="2849"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会费收取</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lang w:eastAsia="zh-CN"/>
              </w:rPr>
              <w:t>不设下限</w:t>
            </w:r>
          </w:p>
        </w:tc>
        <w:tc>
          <w:tcPr>
            <w:tcW w:w="2847"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每少1000元，每月扣减月度绩效考核得分0.1分进行处罚，直至应收尽收为止。</w:t>
            </w:r>
          </w:p>
        </w:tc>
        <w:tc>
          <w:tcPr>
            <w:tcW w:w="2640"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rPr>
              <w:t>所对接的会员单位，会费到期半年以上未收缴到位的</w:t>
            </w:r>
            <w:r>
              <w:rPr>
                <w:rFonts w:hint="eastAsia" w:ascii="仿宋" w:hAnsi="仿宋" w:eastAsia="仿宋"/>
                <w:snapToGrid w:val="0"/>
                <w:spacing w:val="2"/>
                <w:sz w:val="24"/>
                <w:szCs w:val="24"/>
                <w:lang w:eastAsia="zh-CN"/>
              </w:rPr>
              <w:t>。</w:t>
            </w:r>
          </w:p>
        </w:tc>
      </w:tr>
      <w:tr>
        <w:tblPrEx>
          <w:tblCellMar>
            <w:top w:w="0" w:type="dxa"/>
            <w:left w:w="108" w:type="dxa"/>
            <w:bottom w:w="0" w:type="dxa"/>
            <w:right w:w="108" w:type="dxa"/>
          </w:tblCellMar>
        </w:tblPrEx>
        <w:trPr>
          <w:trHeight w:val="142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lang w:val="en-US" w:eastAsia="zh-CN"/>
              </w:rPr>
            </w:pPr>
            <w:r>
              <w:rPr>
                <w:rFonts w:hint="eastAsia" w:ascii="仿宋" w:hAnsi="仿宋" w:eastAsia="仿宋"/>
                <w:snapToGrid w:val="0"/>
                <w:spacing w:val="2"/>
                <w:sz w:val="24"/>
                <w:szCs w:val="24"/>
                <w:lang w:val="en-US" w:eastAsia="zh-CN"/>
              </w:rPr>
              <w:t>3</w:t>
            </w:r>
          </w:p>
        </w:tc>
        <w:tc>
          <w:tcPr>
            <w:tcW w:w="2849"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团结合作</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lang w:eastAsia="zh-CN"/>
              </w:rPr>
              <w:t>不设下限</w:t>
            </w:r>
          </w:p>
        </w:tc>
        <w:tc>
          <w:tcPr>
            <w:tcW w:w="2847"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按照评价标准扣分</w:t>
            </w:r>
          </w:p>
        </w:tc>
        <w:tc>
          <w:tcPr>
            <w:tcW w:w="2640" w:type="dxa"/>
            <w:tcBorders>
              <w:top w:val="single" w:color="auto" w:sz="4" w:space="0"/>
              <w:left w:val="single" w:color="auto" w:sz="4" w:space="0"/>
              <w:bottom w:val="single" w:color="auto" w:sz="4" w:space="0"/>
              <w:right w:val="single" w:color="auto" w:sz="4" w:space="0"/>
            </w:tcBorders>
          </w:tcPr>
          <w:p>
            <w:pPr>
              <w:spacing w:beforeLines="20" w:line="640" w:lineRule="exact"/>
              <w:jc w:val="center"/>
              <w:rPr>
                <w:rFonts w:ascii="仿宋" w:hAnsi="仿宋" w:eastAsia="仿宋"/>
                <w:snapToGrid w:val="0"/>
                <w:spacing w:val="2"/>
                <w:sz w:val="24"/>
                <w:szCs w:val="24"/>
              </w:rPr>
            </w:pPr>
            <w:r>
              <w:rPr>
                <w:rFonts w:hint="eastAsia" w:ascii="仿宋" w:hAnsi="仿宋" w:eastAsia="仿宋"/>
                <w:snapToGrid w:val="0"/>
                <w:spacing w:val="2"/>
                <w:sz w:val="24"/>
                <w:szCs w:val="24"/>
              </w:rPr>
              <w:t>我行我素、不服从安排每次扣3分；2次（不含）以上，年度考核为不符合评价要求；与同事不协调、争吵并造成较大影响的,一次扣主要方5分，扣次要方2分，2次（不含）以上，年度考核为不符合评价要求；前述行为若造成严重影响的，出现1次，年度考核为不符合评价要求。</w:t>
            </w:r>
          </w:p>
        </w:tc>
      </w:tr>
      <w:tr>
        <w:tblPrEx>
          <w:tblCellMar>
            <w:top w:w="0" w:type="dxa"/>
            <w:left w:w="108" w:type="dxa"/>
            <w:bottom w:w="0" w:type="dxa"/>
            <w:right w:w="108" w:type="dxa"/>
          </w:tblCellMar>
        </w:tblPrEx>
        <w:trPr>
          <w:trHeight w:val="142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lang w:val="en-US" w:eastAsia="zh-CN"/>
              </w:rPr>
            </w:pPr>
            <w:r>
              <w:rPr>
                <w:rFonts w:hint="eastAsia" w:ascii="仿宋" w:hAnsi="仿宋" w:eastAsia="仿宋"/>
                <w:snapToGrid w:val="0"/>
                <w:spacing w:val="2"/>
                <w:sz w:val="24"/>
                <w:szCs w:val="24"/>
                <w:lang w:val="en-US" w:eastAsia="zh-CN"/>
              </w:rPr>
              <w:t>4</w:t>
            </w:r>
          </w:p>
        </w:tc>
        <w:tc>
          <w:tcPr>
            <w:tcW w:w="2849"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尊重上级</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lang w:eastAsia="zh-CN"/>
              </w:rPr>
              <w:t>不设下限</w:t>
            </w:r>
          </w:p>
        </w:tc>
        <w:tc>
          <w:tcPr>
            <w:tcW w:w="2847"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按照评价标准扣分</w:t>
            </w:r>
          </w:p>
        </w:tc>
        <w:tc>
          <w:tcPr>
            <w:tcW w:w="2640"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不听上级的指令，每次扣3分，2次（不含）以上年度考核为不符合评价要求；若因顶撞上级造成严重影响的，出现1次，年度考核为不符合评价要求。</w:t>
            </w:r>
          </w:p>
        </w:tc>
      </w:tr>
      <w:tr>
        <w:tblPrEx>
          <w:tblCellMar>
            <w:top w:w="0" w:type="dxa"/>
            <w:left w:w="108" w:type="dxa"/>
            <w:bottom w:w="0" w:type="dxa"/>
            <w:right w:w="108" w:type="dxa"/>
          </w:tblCellMar>
        </w:tblPrEx>
        <w:trPr>
          <w:trHeight w:val="142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lang w:val="en-US" w:eastAsia="zh-CN"/>
              </w:rPr>
            </w:pPr>
            <w:r>
              <w:rPr>
                <w:rFonts w:hint="eastAsia" w:ascii="仿宋" w:hAnsi="仿宋" w:eastAsia="仿宋"/>
                <w:snapToGrid w:val="0"/>
                <w:spacing w:val="2"/>
                <w:sz w:val="24"/>
                <w:szCs w:val="24"/>
                <w:lang w:val="en-US" w:eastAsia="zh-CN"/>
              </w:rPr>
              <w:t>5</w:t>
            </w:r>
          </w:p>
        </w:tc>
        <w:tc>
          <w:tcPr>
            <w:tcW w:w="2849"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廉洁自律</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lang w:eastAsia="zh-CN"/>
              </w:rPr>
              <w:t>不设下限</w:t>
            </w:r>
          </w:p>
        </w:tc>
        <w:tc>
          <w:tcPr>
            <w:tcW w:w="2847"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按照评价标准扣分</w:t>
            </w:r>
          </w:p>
        </w:tc>
        <w:tc>
          <w:tcPr>
            <w:tcW w:w="2640"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个人向会员索取费用、中饱私囊的，一经发现，年度考核为不符合评价要求。</w:t>
            </w:r>
          </w:p>
        </w:tc>
      </w:tr>
      <w:tr>
        <w:tblPrEx>
          <w:tblCellMar>
            <w:top w:w="0" w:type="dxa"/>
            <w:left w:w="108" w:type="dxa"/>
            <w:bottom w:w="0" w:type="dxa"/>
            <w:right w:w="108" w:type="dxa"/>
          </w:tblCellMar>
        </w:tblPrEx>
        <w:trPr>
          <w:trHeight w:val="142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lang w:val="en-US" w:eastAsia="zh-CN"/>
              </w:rPr>
            </w:pPr>
            <w:r>
              <w:rPr>
                <w:rFonts w:hint="eastAsia" w:ascii="仿宋" w:hAnsi="仿宋" w:eastAsia="仿宋"/>
                <w:snapToGrid w:val="0"/>
                <w:spacing w:val="2"/>
                <w:sz w:val="24"/>
                <w:szCs w:val="24"/>
                <w:lang w:val="en-US" w:eastAsia="zh-CN"/>
              </w:rPr>
              <w:t>6</w:t>
            </w:r>
          </w:p>
        </w:tc>
        <w:tc>
          <w:tcPr>
            <w:tcW w:w="2849"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工作技能</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lang w:eastAsia="zh-CN"/>
              </w:rPr>
              <w:t>不设下限</w:t>
            </w:r>
          </w:p>
        </w:tc>
        <w:tc>
          <w:tcPr>
            <w:tcW w:w="2847"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按照评价标准扣分</w:t>
            </w:r>
          </w:p>
        </w:tc>
        <w:tc>
          <w:tcPr>
            <w:tcW w:w="2640"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因工作技能或执行力不强，出现较大失误，每次扣3分，2次（不含）以上出现较大失误或1次造成严重失误的，年度考核为不符合评价要求。</w:t>
            </w:r>
          </w:p>
        </w:tc>
      </w:tr>
      <w:tr>
        <w:tblPrEx>
          <w:tblCellMar>
            <w:top w:w="0" w:type="dxa"/>
            <w:left w:w="108" w:type="dxa"/>
            <w:bottom w:w="0" w:type="dxa"/>
            <w:right w:w="108" w:type="dxa"/>
          </w:tblCellMar>
        </w:tblPrEx>
        <w:trPr>
          <w:trHeight w:val="142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lang w:val="en-US" w:eastAsia="zh-CN"/>
              </w:rPr>
            </w:pPr>
            <w:r>
              <w:rPr>
                <w:rFonts w:hint="eastAsia" w:ascii="仿宋" w:hAnsi="仿宋" w:eastAsia="仿宋"/>
                <w:snapToGrid w:val="0"/>
                <w:spacing w:val="2"/>
                <w:sz w:val="24"/>
                <w:szCs w:val="24"/>
                <w:lang w:val="en-US" w:eastAsia="zh-CN"/>
              </w:rPr>
              <w:t>7</w:t>
            </w:r>
          </w:p>
        </w:tc>
        <w:tc>
          <w:tcPr>
            <w:tcW w:w="2849"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rPr>
              <w:t>上下班出勤或秘书处活动出勤</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rPr>
            </w:pPr>
            <w:r>
              <w:rPr>
                <w:rFonts w:hint="eastAsia" w:ascii="仿宋" w:hAnsi="仿宋" w:eastAsia="仿宋"/>
                <w:snapToGrid w:val="0"/>
                <w:spacing w:val="2"/>
                <w:sz w:val="24"/>
                <w:szCs w:val="24"/>
                <w:lang w:eastAsia="zh-CN"/>
              </w:rPr>
              <w:t>不设下限</w:t>
            </w:r>
          </w:p>
        </w:tc>
        <w:tc>
          <w:tcPr>
            <w:tcW w:w="2847"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按照评价标准扣分</w:t>
            </w:r>
          </w:p>
        </w:tc>
        <w:tc>
          <w:tcPr>
            <w:tcW w:w="2640"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ascii="仿宋" w:hAnsi="仿宋" w:eastAsia="仿宋"/>
                <w:snapToGrid w:val="0"/>
                <w:spacing w:val="2"/>
                <w:sz w:val="24"/>
                <w:szCs w:val="24"/>
              </w:rPr>
            </w:pPr>
            <w:r>
              <w:rPr>
                <w:rFonts w:hint="eastAsia" w:ascii="仿宋" w:hAnsi="仿宋" w:eastAsia="仿宋"/>
                <w:snapToGrid w:val="0"/>
                <w:spacing w:val="2"/>
                <w:sz w:val="24"/>
                <w:szCs w:val="24"/>
              </w:rPr>
              <w:t>不按规定履行请假手续，无故迟到1次扣1分，无故早退1次扣2分，无故旷工半天扣5分、1天扣10分，无故不参加协会或秘书处活动1次扣5分。</w:t>
            </w:r>
          </w:p>
        </w:tc>
      </w:tr>
      <w:tr>
        <w:tblPrEx>
          <w:tblCellMar>
            <w:top w:w="0" w:type="dxa"/>
            <w:left w:w="108" w:type="dxa"/>
            <w:bottom w:w="0" w:type="dxa"/>
            <w:right w:w="108" w:type="dxa"/>
          </w:tblCellMar>
        </w:tblPrEx>
        <w:trPr>
          <w:trHeight w:val="142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default" w:ascii="仿宋" w:hAnsi="仿宋" w:eastAsia="仿宋"/>
                <w:snapToGrid w:val="0"/>
                <w:spacing w:val="2"/>
                <w:sz w:val="24"/>
                <w:szCs w:val="24"/>
                <w:lang w:val="en-US" w:eastAsia="zh-CN"/>
              </w:rPr>
            </w:pPr>
            <w:r>
              <w:rPr>
                <w:rFonts w:hint="eastAsia" w:ascii="仿宋" w:hAnsi="仿宋" w:eastAsia="仿宋"/>
                <w:snapToGrid w:val="0"/>
                <w:spacing w:val="2"/>
                <w:sz w:val="24"/>
                <w:szCs w:val="24"/>
                <w:lang w:val="en-US" w:eastAsia="zh-CN"/>
              </w:rPr>
              <w:t>8</w:t>
            </w:r>
          </w:p>
        </w:tc>
        <w:tc>
          <w:tcPr>
            <w:tcW w:w="2849"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both"/>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lang w:eastAsia="zh-CN"/>
              </w:rPr>
              <w:t>发展会员</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Lines="20" w:line="640" w:lineRule="exact"/>
              <w:jc w:val="center"/>
              <w:rPr>
                <w:rFonts w:hint="eastAsia" w:ascii="仿宋" w:hAnsi="仿宋" w:eastAsia="仿宋"/>
                <w:snapToGrid w:val="0"/>
                <w:spacing w:val="2"/>
                <w:sz w:val="24"/>
                <w:szCs w:val="24"/>
                <w:lang w:val="en-US" w:eastAsia="zh-CN"/>
              </w:rPr>
            </w:pPr>
            <w:r>
              <w:rPr>
                <w:rFonts w:hint="eastAsia" w:ascii="仿宋" w:hAnsi="仿宋" w:eastAsia="仿宋"/>
                <w:snapToGrid w:val="0"/>
                <w:spacing w:val="2"/>
                <w:sz w:val="24"/>
                <w:szCs w:val="24"/>
              </w:rPr>
              <w:t>≤</w:t>
            </w:r>
            <w:r>
              <w:rPr>
                <w:rFonts w:hint="eastAsia" w:ascii="仿宋" w:hAnsi="仿宋" w:eastAsia="仿宋"/>
                <w:snapToGrid w:val="0"/>
                <w:spacing w:val="2"/>
                <w:sz w:val="24"/>
                <w:szCs w:val="24"/>
                <w:lang w:val="en-US" w:eastAsia="zh-CN"/>
              </w:rPr>
              <w:t>8</w:t>
            </w:r>
          </w:p>
        </w:tc>
        <w:tc>
          <w:tcPr>
            <w:tcW w:w="2847"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hint="eastAsia" w:ascii="仿宋" w:hAnsi="仿宋" w:eastAsia="仿宋"/>
                <w:snapToGrid w:val="0"/>
                <w:spacing w:val="2"/>
                <w:sz w:val="24"/>
                <w:szCs w:val="24"/>
              </w:rPr>
            </w:pPr>
            <w:r>
              <w:rPr>
                <w:rFonts w:hint="eastAsia" w:ascii="仿宋" w:hAnsi="仿宋" w:eastAsia="仿宋"/>
                <w:snapToGrid w:val="0"/>
                <w:spacing w:val="2"/>
                <w:sz w:val="24"/>
                <w:szCs w:val="24"/>
              </w:rPr>
              <w:t>按照评价标准扣分</w:t>
            </w:r>
          </w:p>
        </w:tc>
        <w:tc>
          <w:tcPr>
            <w:tcW w:w="2640" w:type="dxa"/>
            <w:tcBorders>
              <w:top w:val="single" w:color="auto" w:sz="4" w:space="0"/>
              <w:left w:val="single" w:color="auto" w:sz="4" w:space="0"/>
              <w:bottom w:val="single" w:color="auto" w:sz="4" w:space="0"/>
              <w:right w:val="single" w:color="auto" w:sz="4" w:space="0"/>
            </w:tcBorders>
          </w:tcPr>
          <w:p>
            <w:pPr>
              <w:spacing w:beforeLines="20" w:line="640" w:lineRule="exact"/>
              <w:jc w:val="left"/>
              <w:rPr>
                <w:rFonts w:hint="eastAsia" w:ascii="仿宋" w:hAnsi="仿宋" w:eastAsia="仿宋"/>
                <w:snapToGrid w:val="0"/>
                <w:spacing w:val="2"/>
                <w:sz w:val="24"/>
                <w:szCs w:val="24"/>
                <w:lang w:eastAsia="zh-CN"/>
              </w:rPr>
            </w:pPr>
            <w:r>
              <w:rPr>
                <w:rFonts w:hint="eastAsia" w:ascii="仿宋" w:hAnsi="仿宋" w:eastAsia="仿宋"/>
                <w:snapToGrid w:val="0"/>
                <w:spacing w:val="2"/>
                <w:sz w:val="24"/>
                <w:szCs w:val="24"/>
              </w:rPr>
              <w:t>每人每月发展会员不少于1家，该项任务未完成的，扣当月绩效8分</w:t>
            </w:r>
            <w:r>
              <w:rPr>
                <w:rFonts w:hint="eastAsia" w:ascii="仿宋" w:hAnsi="仿宋" w:eastAsia="仿宋"/>
                <w:snapToGrid w:val="0"/>
                <w:spacing w:val="2"/>
                <w:sz w:val="24"/>
                <w:szCs w:val="24"/>
                <w:lang w:eastAsia="zh-CN"/>
              </w:rPr>
              <w:t>。</w:t>
            </w:r>
          </w:p>
        </w:tc>
      </w:tr>
    </w:tbl>
    <w:p>
      <w:pPr>
        <w:ind w:left="312" w:right="312" w:firstLine="313" w:firstLineChars="98"/>
        <w:jc w:val="left"/>
        <w:rPr>
          <w:rFonts w:ascii="黑体" w:hAnsi="黑体" w:eastAsia="黑体"/>
          <w:snapToGrid w:val="0"/>
          <w:sz w:val="32"/>
          <w:szCs w:val="32"/>
        </w:rPr>
      </w:pPr>
      <w:r>
        <w:rPr>
          <w:rFonts w:hint="eastAsia" w:ascii="黑体" w:hAnsi="黑体" w:eastAsia="黑体"/>
          <w:snapToGrid w:val="0"/>
          <w:sz w:val="32"/>
          <w:szCs w:val="32"/>
        </w:rPr>
        <w:t>四、享受</w:t>
      </w:r>
      <w:bookmarkEnd w:id="9"/>
      <w:r>
        <w:rPr>
          <w:rFonts w:hint="eastAsia" w:ascii="黑体" w:hAnsi="黑体" w:eastAsia="黑体"/>
          <w:snapToGrid w:val="0"/>
          <w:sz w:val="32"/>
          <w:szCs w:val="32"/>
        </w:rPr>
        <w:t>绩效奖金</w:t>
      </w:r>
    </w:p>
    <w:p>
      <w:pPr>
        <w:ind w:firstLine="640" w:firstLineChars="200"/>
        <w:jc w:val="left"/>
        <w:rPr>
          <w:rFonts w:ascii="仿宋" w:hAnsi="仿宋" w:eastAsia="仿宋"/>
          <w:sz w:val="32"/>
          <w:szCs w:val="32"/>
        </w:rPr>
      </w:pPr>
      <w:r>
        <w:rPr>
          <w:rFonts w:hint="eastAsia" w:ascii="仿宋" w:hAnsi="仿宋" w:eastAsia="仿宋"/>
          <w:sz w:val="32"/>
          <w:szCs w:val="32"/>
        </w:rPr>
        <w:t>经考核工作领导小组审核后，考核对象每月的综合得分累加到年度，年度平均分（总得分÷月数）70分（不含）以下的，不享受年度绩效奖金；年度平均分70分的，可享受年度税前工资总额的10%的绩效奖金；年度平均分70分（不含）以上的，每超过1分，分别递增年度税前工资总额的1%的绩效奖金，不设上限。</w:t>
      </w:r>
    </w:p>
    <w:p>
      <w:pPr>
        <w:ind w:left="312" w:right="312" w:firstLine="313" w:firstLineChars="98"/>
        <w:jc w:val="left"/>
        <w:rPr>
          <w:rFonts w:ascii="黑体" w:hAnsi="黑体" w:eastAsia="黑体"/>
          <w:snapToGrid w:val="0"/>
          <w:sz w:val="32"/>
          <w:szCs w:val="32"/>
        </w:rPr>
      </w:pPr>
      <w:r>
        <w:rPr>
          <w:rFonts w:hint="eastAsia" w:ascii="黑体" w:hAnsi="黑体" w:eastAsia="黑体"/>
          <w:snapToGrid w:val="0"/>
          <w:sz w:val="32"/>
          <w:szCs w:val="32"/>
        </w:rPr>
        <w:t>五、附则</w:t>
      </w:r>
    </w:p>
    <w:p>
      <w:pPr>
        <w:ind w:firstLine="640" w:firstLineChars="200"/>
        <w:jc w:val="left"/>
        <w:rPr>
          <w:rFonts w:ascii="仿宋" w:hAnsi="仿宋" w:eastAsia="仿宋"/>
          <w:sz w:val="32"/>
          <w:szCs w:val="32"/>
        </w:rPr>
      </w:pPr>
      <w:r>
        <w:rPr>
          <w:rFonts w:hint="eastAsia" w:ascii="仿宋" w:hAnsi="仿宋" w:eastAsia="仿宋"/>
          <w:sz w:val="32"/>
          <w:szCs w:val="32"/>
        </w:rPr>
        <w:t>1、秘书处其他因完成中心工作制定的工作奖励制度不在本考核办法之内。</w:t>
      </w:r>
    </w:p>
    <w:p>
      <w:pPr>
        <w:ind w:firstLine="640" w:firstLineChars="200"/>
        <w:jc w:val="left"/>
        <w:rPr>
          <w:rFonts w:ascii="仿宋" w:hAnsi="仿宋" w:eastAsia="仿宋"/>
          <w:sz w:val="32"/>
          <w:szCs w:val="32"/>
        </w:rPr>
      </w:pPr>
      <w:r>
        <w:rPr>
          <w:rFonts w:hint="eastAsia" w:ascii="仿宋" w:hAnsi="仿宋" w:eastAsia="仿宋"/>
          <w:sz w:val="32"/>
          <w:szCs w:val="32"/>
        </w:rPr>
        <w:t>2、会长和秘书长有权在本办法未涉及评价项之外，对于有特别突出表现或贡献的人员进行单独加分，对于表现很差或工作任务完成得很不好的人员进行单独减分。</w:t>
      </w:r>
    </w:p>
    <w:p>
      <w:pPr>
        <w:ind w:firstLine="640" w:firstLineChars="200"/>
        <w:jc w:val="left"/>
        <w:rPr>
          <w:rFonts w:ascii="仿宋" w:hAnsi="仿宋" w:eastAsia="仿宋"/>
          <w:sz w:val="32"/>
          <w:szCs w:val="32"/>
        </w:rPr>
      </w:pPr>
      <w:r>
        <w:rPr>
          <w:rFonts w:hint="eastAsia" w:ascii="仿宋" w:hAnsi="仿宋" w:eastAsia="仿宋"/>
          <w:sz w:val="32"/>
          <w:szCs w:val="32"/>
        </w:rPr>
        <w:t>3、本考核办法的考核评价结果作为秘书处工作人员职务及工资调整的重要依据。若因个人违反廉洁自律规定或工作不称职或年度平均分低于60分，将作为自动解除劳动关系处理。</w:t>
      </w:r>
    </w:p>
    <w:p>
      <w:pPr>
        <w:ind w:firstLine="640" w:firstLineChars="200"/>
        <w:jc w:val="left"/>
        <w:rPr>
          <w:rFonts w:hint="eastAsia" w:ascii="仿宋" w:hAnsi="仿宋" w:eastAsia="仿宋"/>
          <w:sz w:val="32"/>
          <w:szCs w:val="32"/>
        </w:rPr>
      </w:pPr>
      <w:r>
        <w:rPr>
          <w:rFonts w:hint="eastAsia" w:ascii="仿宋" w:hAnsi="仿宋" w:eastAsia="仿宋"/>
          <w:sz w:val="32"/>
          <w:szCs w:val="32"/>
        </w:rPr>
        <w:t>4、本考核办法从20</w:t>
      </w:r>
      <w:r>
        <w:rPr>
          <w:rFonts w:hint="eastAsia" w:ascii="仿宋" w:hAnsi="仿宋" w:eastAsia="仿宋"/>
          <w:sz w:val="32"/>
          <w:szCs w:val="32"/>
          <w:lang w:val="en-US" w:eastAsia="zh-CN"/>
        </w:rPr>
        <w:t>18</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月1日起执行。</w:t>
      </w:r>
    </w:p>
    <w:p/>
    <w:sectPr>
      <w:pgSz w:w="11906" w:h="16838"/>
      <w:pgMar w:top="1440" w:right="1417" w:bottom="144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9A70"/>
    <w:multiLevelType w:val="singleLevel"/>
    <w:tmpl w:val="124B9A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62570"/>
    <w:rsid w:val="17EA4671"/>
    <w:rsid w:val="2A7A6BA5"/>
    <w:rsid w:val="47A76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2021-11-19T07:20:00Z</dcterms:created>
  <dc:creator>Administrator</dc:creator>
  <cp:lastModifiedBy>～丽、</cp:lastModifiedBy>
  <dcterms:modified xsi:type="dcterms:W3CDTF">2021-11-25T06:24:57Z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77AF225F2D9E4938BBB889AB955E8A3A</vt:lpwstr>
  </property>
</Properties>
</file>