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kern w:val="2"/>
          <w:sz w:val="31"/>
          <w:szCs w:val="31"/>
          <w:lang w:val="en-US" w:eastAsia="zh-CN" w:bidi="ar-SA"/>
        </w:rPr>
      </w:pPr>
      <w:r>
        <w:rPr>
          <w:rFonts w:hint="eastAsia" w:ascii="仿宋" w:hAnsi="仿宋" w:eastAsia="仿宋" w:cs="仿宋"/>
          <w:b/>
          <w:bCs/>
          <w:kern w:val="2"/>
          <w:sz w:val="31"/>
          <w:szCs w:val="31"/>
          <w:lang w:val="en-US" w:eastAsia="zh-CN" w:bidi="ar-SA"/>
        </w:rPr>
        <w:t>附件2</w:t>
      </w:r>
    </w:p>
    <w:p>
      <w:pPr>
        <w:jc w:val="center"/>
        <w:rPr>
          <w:rFonts w:hint="default" w:ascii="Times New Roman" w:hAnsi="Times New Roman" w:eastAsia="方正小标宋简体" w:cs="Times New Roman"/>
          <w:kern w:val="2"/>
          <w:sz w:val="36"/>
          <w:szCs w:val="36"/>
          <w:lang w:val="en-US" w:eastAsia="zh-CN" w:bidi="ar-SA"/>
        </w:rPr>
      </w:pPr>
      <w:r>
        <w:rPr>
          <w:rFonts w:hint="eastAsia" w:ascii="Times New Roman" w:hAnsi="Times New Roman" w:eastAsia="方正小标宋简体" w:cs="Times New Roman"/>
          <w:kern w:val="2"/>
          <w:sz w:val="36"/>
          <w:szCs w:val="36"/>
          <w:lang w:val="en-US" w:eastAsia="zh-CN" w:bidi="ar-SA"/>
        </w:rPr>
        <w:t>“百城万企供需走廊”企</w:t>
      </w:r>
      <w:bookmarkStart w:id="0" w:name="_GoBack"/>
      <w:bookmarkEnd w:id="0"/>
      <w:r>
        <w:rPr>
          <w:rFonts w:hint="eastAsia" w:ascii="Times New Roman" w:hAnsi="Times New Roman" w:eastAsia="方正小标宋简体" w:cs="Times New Roman"/>
          <w:kern w:val="2"/>
          <w:sz w:val="36"/>
          <w:szCs w:val="36"/>
          <w:lang w:val="en-US" w:eastAsia="zh-CN" w:bidi="ar-SA"/>
        </w:rPr>
        <w:t>业产品信息采集表（样板）</w:t>
      </w:r>
    </w:p>
    <w:tbl>
      <w:tblPr>
        <w:tblStyle w:val="3"/>
        <w:tblW w:w="0" w:type="auto"/>
        <w:tblInd w:w="-450" w:type="dxa"/>
        <w:tblLayout w:type="fixed"/>
        <w:tblCellMar>
          <w:top w:w="0" w:type="dxa"/>
          <w:left w:w="0" w:type="dxa"/>
          <w:bottom w:w="0" w:type="dxa"/>
          <w:right w:w="0" w:type="dxa"/>
        </w:tblCellMar>
      </w:tblPr>
      <w:tblGrid>
        <w:gridCol w:w="990"/>
        <w:gridCol w:w="1380"/>
        <w:gridCol w:w="2460"/>
        <w:gridCol w:w="1095"/>
        <w:gridCol w:w="3810"/>
      </w:tblGrid>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单位名称</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宋体"/>
                <w:kern w:val="0"/>
                <w:sz w:val="18"/>
              </w:rPr>
              <w:t>广东米锐信息科技有限公司</w:t>
            </w:r>
          </w:p>
        </w:tc>
      </w:tr>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单位地址</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宋体"/>
                <w:kern w:val="0"/>
                <w:sz w:val="18"/>
              </w:rPr>
              <w:t>东莞市松山湖方旺大厦4楼</w:t>
            </w:r>
          </w:p>
        </w:tc>
      </w:tr>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联系人</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谢守锋</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手机</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13925548360</w:t>
            </w:r>
          </w:p>
        </w:tc>
      </w:tr>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销售人员</w:t>
            </w:r>
          </w:p>
        </w:tc>
        <w:tc>
          <w:tcPr>
            <w:tcW w:w="38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手机</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所属领域</w:t>
            </w:r>
          </w:p>
        </w:tc>
        <w:tc>
          <w:tcPr>
            <w:tcW w:w="3840"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lang w:eastAsia="zh-CN"/>
              </w:rPr>
            </w:pPr>
            <w:r>
              <w:rPr>
                <w:rFonts w:hint="eastAsia" w:ascii="微软雅黑" w:hAnsi="微软雅黑" w:eastAsia="微软雅黑" w:cs="微软雅黑"/>
                <w:i w:val="0"/>
                <w:color w:val="000000"/>
                <w:sz w:val="18"/>
                <w:szCs w:val="18"/>
                <w:u w:val="none"/>
                <w:lang w:eastAsia="zh-CN"/>
              </w:rPr>
              <w:t>电子信息</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邮箱</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kern w:val="0"/>
                <w:sz w:val="18"/>
                <w:szCs w:val="18"/>
                <w:u w:val="none"/>
                <w:lang w:val="en-US" w:eastAsia="zh-CN" w:bidi="ar"/>
              </w:rPr>
              <w:fldChar w:fldCharType="begin"/>
            </w:r>
            <w:r>
              <w:rPr>
                <w:rFonts w:hint="eastAsia" w:ascii="微软雅黑" w:hAnsi="微软雅黑" w:eastAsia="微软雅黑" w:cs="微软雅黑"/>
                <w:i w:val="0"/>
                <w:kern w:val="0"/>
                <w:sz w:val="18"/>
                <w:szCs w:val="18"/>
                <w:u w:val="none"/>
                <w:lang w:val="en-US" w:eastAsia="zh-CN" w:bidi="ar"/>
              </w:rPr>
              <w:instrText xml:space="preserve"> HYPERLINK "mailto:28193278@qq.com" </w:instrText>
            </w:r>
            <w:r>
              <w:rPr>
                <w:rFonts w:hint="eastAsia" w:ascii="微软雅黑" w:hAnsi="微软雅黑" w:eastAsia="微软雅黑" w:cs="微软雅黑"/>
                <w:i w:val="0"/>
                <w:kern w:val="0"/>
                <w:sz w:val="18"/>
                <w:szCs w:val="18"/>
                <w:u w:val="none"/>
                <w:lang w:val="en-US" w:eastAsia="zh-CN" w:bidi="ar"/>
              </w:rPr>
              <w:fldChar w:fldCharType="separate"/>
            </w:r>
            <w:r>
              <w:rPr>
                <w:rStyle w:val="5"/>
                <w:rFonts w:hint="eastAsia" w:ascii="微软雅黑" w:hAnsi="微软雅黑" w:eastAsia="微软雅黑" w:cs="微软雅黑"/>
                <w:i w:val="0"/>
                <w:sz w:val="18"/>
                <w:szCs w:val="18"/>
                <w:u w:val="none"/>
              </w:rPr>
              <w:t>28193278@qq.com</w:t>
            </w:r>
            <w:r>
              <w:rPr>
                <w:rFonts w:hint="eastAsia" w:ascii="微软雅黑" w:hAnsi="微软雅黑" w:eastAsia="微软雅黑" w:cs="微软雅黑"/>
                <w:i w:val="0"/>
                <w:kern w:val="0"/>
                <w:sz w:val="18"/>
                <w:szCs w:val="18"/>
                <w:u w:val="none"/>
                <w:lang w:val="en-US" w:eastAsia="zh-CN" w:bidi="ar"/>
              </w:rPr>
              <w:fldChar w:fldCharType="end"/>
            </w:r>
          </w:p>
        </w:tc>
      </w:tr>
      <w:tr>
        <w:tblPrEx>
          <w:tblCellMar>
            <w:top w:w="0" w:type="dxa"/>
            <w:left w:w="0" w:type="dxa"/>
            <w:bottom w:w="0" w:type="dxa"/>
            <w:right w:w="0" w:type="dxa"/>
          </w:tblCellMar>
        </w:tblPrEx>
        <w:trPr>
          <w:trHeight w:val="1932"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单位简介</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微软雅黑" w:hAnsi="微软雅黑" w:eastAsia="微软雅黑" w:cs="微软雅黑"/>
                <w:i w:val="0"/>
                <w:color w:val="000000"/>
                <w:sz w:val="18"/>
                <w:szCs w:val="18"/>
                <w:u w:val="none"/>
              </w:rPr>
            </w:pPr>
            <w:r>
              <w:rPr>
                <w:rFonts w:hint="eastAsia" w:ascii="微软雅黑" w:hAnsi="微软雅黑" w:eastAsia="微软雅黑" w:cs="宋体"/>
                <w:kern w:val="0"/>
                <w:sz w:val="18"/>
              </w:rPr>
              <w:t>广东米锐信息科技有限公司（</w:t>
            </w:r>
            <w:r>
              <w:rPr>
                <w:rFonts w:ascii="微软雅黑" w:hAnsi="微软雅黑" w:eastAsia="微软雅黑" w:cs="宋体"/>
                <w:kern w:val="0"/>
                <w:sz w:val="18"/>
              </w:rPr>
              <w:t xml:space="preserve">Guangdong </w:t>
            </w:r>
            <w:r>
              <w:rPr>
                <w:rFonts w:hint="eastAsia" w:ascii="微软雅黑" w:hAnsi="微软雅黑" w:eastAsia="微软雅黑" w:cs="宋体"/>
                <w:kern w:val="0"/>
                <w:sz w:val="18"/>
              </w:rPr>
              <w:t>SM@LLFLY</w:t>
            </w:r>
            <w:r>
              <w:rPr>
                <w:rFonts w:ascii="微软雅黑" w:hAnsi="微软雅黑" w:eastAsia="微软雅黑" w:cs="宋体"/>
                <w:kern w:val="0"/>
                <w:sz w:val="18"/>
              </w:rPr>
              <w:t xml:space="preserve"> Information Technology Co., Ltd.</w:t>
            </w:r>
            <w:r>
              <w:rPr>
                <w:rFonts w:hint="eastAsia" w:ascii="微软雅黑" w:hAnsi="微软雅黑" w:eastAsia="微软雅黑" w:cs="宋体"/>
                <w:kern w:val="0"/>
                <w:sz w:val="18"/>
              </w:rPr>
              <w:t>）是一家提供互联网平台咨询、电商运营、软件开发的高科技企业，致力于通过创新的信息化技术来推动企业的营销变革及管理创新，为企业创造价值。 公司以现代信息技术为依托，融合计算机、网络、通信、多媒体、自动控制、安全防范技术，提供包括互联网平台研发与咨询、企业B2B电商运营与咨询、信息化管理咨询及软件开发等服务业务，努力为客户提高核心竞争力和综合效益。</w:t>
            </w:r>
          </w:p>
        </w:tc>
      </w:tr>
      <w:tr>
        <w:tblPrEx>
          <w:tblCellMar>
            <w:top w:w="0" w:type="dxa"/>
            <w:left w:w="0" w:type="dxa"/>
            <w:bottom w:w="0" w:type="dxa"/>
            <w:right w:w="0" w:type="dxa"/>
          </w:tblCellMar>
        </w:tblPrEx>
        <w:trPr>
          <w:trHeight w:val="2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单位图片</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58240" behindDoc="0" locked="0" layoutInCell="1" allowOverlap="1">
                  <wp:simplePos x="0" y="0"/>
                  <wp:positionH relativeFrom="column">
                    <wp:posOffset>131445</wp:posOffset>
                  </wp:positionH>
                  <wp:positionV relativeFrom="paragraph">
                    <wp:posOffset>520065</wp:posOffset>
                  </wp:positionV>
                  <wp:extent cx="1988820" cy="1242695"/>
                  <wp:effectExtent l="0" t="0" r="11430" b="1460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4"/>
                          <a:stretch>
                            <a:fillRect/>
                          </a:stretch>
                        </pic:blipFill>
                        <pic:spPr>
                          <a:xfrm>
                            <a:off x="0" y="0"/>
                            <a:ext cx="1988820" cy="1242695"/>
                          </a:xfrm>
                          <a:prstGeom prst="rect">
                            <a:avLst/>
                          </a:prstGeom>
                          <a:noFill/>
                          <a:ln>
                            <a:noFill/>
                          </a:ln>
                        </pic:spPr>
                      </pic:pic>
                    </a:graphicData>
                  </a:graphic>
                </wp:anchor>
              </w:drawing>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lang w:eastAsia="zh-CN"/>
              </w:rPr>
            </w:pPr>
          </w:p>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lang w:val="en-US"/>
              </w:rPr>
            </w:pPr>
            <w:r>
              <w:rPr>
                <w:rFonts w:hint="eastAsia" w:ascii="微软雅黑" w:hAnsi="微软雅黑" w:eastAsia="微软雅黑" w:cs="微软雅黑"/>
                <w:b/>
                <w:bCs/>
                <w:i w:val="0"/>
                <w:color w:val="000000"/>
                <w:kern w:val="0"/>
                <w:sz w:val="18"/>
                <w:szCs w:val="18"/>
                <w:u w:val="none"/>
                <w:lang w:val="en-US" w:eastAsia="zh-CN" w:bidi="ar"/>
              </w:rPr>
              <w:t>单位LOGO</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59264" behindDoc="0" locked="0" layoutInCell="1" allowOverlap="1">
                  <wp:simplePos x="0" y="0"/>
                  <wp:positionH relativeFrom="column">
                    <wp:posOffset>89535</wp:posOffset>
                  </wp:positionH>
                  <wp:positionV relativeFrom="paragraph">
                    <wp:posOffset>720090</wp:posOffset>
                  </wp:positionV>
                  <wp:extent cx="1790700" cy="476885"/>
                  <wp:effectExtent l="0" t="0" r="0" b="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1790700" cy="47688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产品名称</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米锐智能工控机电磁兼容性好嵌入式自动化工控计算机</w:t>
            </w:r>
          </w:p>
        </w:tc>
      </w:tr>
      <w:tr>
        <w:tblPrEx>
          <w:tblCellMar>
            <w:top w:w="0" w:type="dxa"/>
            <w:left w:w="0" w:type="dxa"/>
            <w:bottom w:w="0" w:type="dxa"/>
            <w:right w:w="0" w:type="dxa"/>
          </w:tblCellMar>
        </w:tblPrEx>
        <w:trPr>
          <w:trHeight w:val="801"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产品简介</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米锐智能嵌入式工控机－超紧凑结构内部无连线设计；工业级防尘低功耗宽压；广泛应用于工业自动化、智能装备、机器视觉、航空航天、军工等领域；</w:t>
            </w:r>
          </w:p>
        </w:tc>
      </w:tr>
      <w:tr>
        <w:tblPrEx>
          <w:tblCellMar>
            <w:top w:w="0" w:type="dxa"/>
            <w:left w:w="0" w:type="dxa"/>
            <w:bottom w:w="0" w:type="dxa"/>
            <w:right w:w="0" w:type="dxa"/>
          </w:tblCellMar>
        </w:tblPrEx>
        <w:trPr>
          <w:trHeight w:val="399"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产品参数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处理器</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内存</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硬盘</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电源</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芯片组</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外形尺寸</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工作温度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存储温度</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显示接口</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网络接口</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USB</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串口</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b/>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PCI</w:t>
            </w: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PCIE</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微软雅黑" w:hAnsi="微软雅黑" w:eastAsia="微软雅黑" w:cs="微软雅黑"/>
                <w:i w:val="0"/>
                <w:color w:val="000000"/>
                <w:sz w:val="18"/>
                <w:szCs w:val="18"/>
                <w:u w:val="none"/>
              </w:rPr>
            </w:pPr>
          </w:p>
        </w:tc>
      </w:tr>
      <w:tr>
        <w:tblPrEx>
          <w:tblCellMar>
            <w:top w:w="0" w:type="dxa"/>
            <w:left w:w="0" w:type="dxa"/>
            <w:bottom w:w="0" w:type="dxa"/>
            <w:right w:w="0" w:type="dxa"/>
          </w:tblCellMar>
        </w:tblPrEx>
        <w:trPr>
          <w:trHeight w:val="399"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18"/>
                <w:szCs w:val="18"/>
                <w:u w:val="none"/>
                <w:lang w:val="en-US" w:eastAsia="zh-CN" w:bidi="ar"/>
              </w:rPr>
            </w:pPr>
            <w:r>
              <w:rPr>
                <w:rFonts w:hint="eastAsia" w:ascii="微软雅黑" w:hAnsi="微软雅黑" w:eastAsia="微软雅黑" w:cs="微软雅黑"/>
                <w:b/>
                <w:i w:val="0"/>
                <w:color w:val="000000"/>
                <w:kern w:val="0"/>
                <w:sz w:val="18"/>
                <w:szCs w:val="18"/>
                <w:u w:val="none"/>
                <w:lang w:val="en-US" w:eastAsia="zh-CN" w:bidi="ar"/>
              </w:rPr>
              <w:t>产品应用</w:t>
            </w:r>
          </w:p>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lang w:val="en-US"/>
              </w:rPr>
            </w:pPr>
            <w:r>
              <w:rPr>
                <w:rFonts w:hint="eastAsia" w:ascii="微软雅黑" w:hAnsi="微软雅黑" w:eastAsia="微软雅黑" w:cs="微软雅黑"/>
                <w:b/>
                <w:i w:val="0"/>
                <w:color w:val="000000"/>
                <w:kern w:val="0"/>
                <w:sz w:val="18"/>
                <w:szCs w:val="18"/>
                <w:u w:val="none"/>
                <w:lang w:val="en-US" w:eastAsia="zh-CN" w:bidi="ar"/>
              </w:rPr>
              <w:t>范围</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广泛应用于运动控制、智能交通、激光设备、机器视觉、工业机器人等。</w:t>
            </w:r>
          </w:p>
        </w:tc>
      </w:tr>
      <w:tr>
        <w:tblPrEx>
          <w:tblCellMar>
            <w:top w:w="0" w:type="dxa"/>
            <w:left w:w="0" w:type="dxa"/>
            <w:bottom w:w="0" w:type="dxa"/>
            <w:right w:w="0" w:type="dxa"/>
          </w:tblCellMar>
        </w:tblPrEx>
        <w:trPr>
          <w:trHeight w:val="7104"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产品优势</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1、高效能，不卡顿，灵活适应应用需求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可选Intel 封装为FCLGA1151 的第六代、第七代系列CPU；内存采用内存插槽方案，适用于市面常规DDR4 笔记本内存条。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2、风扇散热设计，更散热，更好的宽温工作表现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整个机箱采用铝合金设计，360 度全方位无风扇散热，被动散热效果比以往的传统设计提高50%；在保证高性能的前提下，做到散热源功耗最低；采用高稳定的SSD 存储方案替代传统的机械式硬盘方案，发热量降低90%。所有料件全部采用工业级品质材料，保证了产品有更好的抗恶劣环境的能力，工作温度和存储温度得到保证。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3、环境适应性强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更好的防震动设计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业界首次引入CPCI 设计理念和方案，使用在PCX-9222 上，增加了板级防震效果。业界首次对PCI 板卡进行固定方式的创新，比以往的传统方式更加牢靠，解决了以往的PCI 板卡长期使用之后，容易松动、接触不良的现象。业界首次在无风扇、无连线的设计理念上，增加了无跳线帽的设计理念和方案，彻底杜绝了机器零配件的故障率。CPU、内存等重要的IC 等元器件，全部采用板贴工艺，彻底解决了重要器件面由于抗震而松动的风险。</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更好的防尘效果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与传统产品相比，针对PCI 挡片的缝隙过大，大颗粒灰尘容易进入的情况，PCX-9222 通过机械结构设计的创新，有效解决了此类问题。</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b/>
                <w:i w:val="0"/>
                <w:color w:val="000000"/>
                <w:kern w:val="0"/>
                <w:sz w:val="18"/>
                <w:szCs w:val="18"/>
                <w:u w:val="none"/>
                <w:lang w:val="en-US" w:eastAsia="zh-CN" w:bidi="ar"/>
              </w:rPr>
              <w:t>4、匠心工艺，小巧便携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更用心的外观设计。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邀请获得国家工业设计大奖的优秀设计人员设计机器结构和外观效果，使得PCX-9222 结构更硬朗、新颖和小巧，突破了传统工业计算机的保守设计。具有竖立和横放的2 种安装方式，突破了同类产品只有一种安装固定的模式，更贴近客户复杂的使用环境。</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更优秀的EMI 防护表现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通过全新的系统级设计，PCX-9222 有更出色的EMI 表现，真正达到了国家GB/T 17626 规范3 级标准；尤其在静电放电ESD 和快速瞬变脉冲群EFT 的防护上，与同类产品相比，更加可靠。</w:t>
            </w:r>
          </w:p>
        </w:tc>
      </w:tr>
      <w:tr>
        <w:tblPrEx>
          <w:tblCellMar>
            <w:top w:w="0" w:type="dxa"/>
            <w:left w:w="0" w:type="dxa"/>
            <w:bottom w:w="0" w:type="dxa"/>
            <w:right w:w="0" w:type="dxa"/>
          </w:tblCellMar>
        </w:tblPrEx>
        <w:trPr>
          <w:trHeight w:val="1896"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产品图片</w:t>
            </w:r>
            <w:r>
              <w:rPr>
                <w:rFonts w:hint="eastAsia" w:ascii="微软雅黑" w:hAnsi="微软雅黑" w:eastAsia="微软雅黑" w:cs="微软雅黑"/>
                <w:b/>
                <w:bCs/>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（3张，不低于800*800像数）</w:t>
            </w:r>
          </w:p>
        </w:tc>
        <w:tc>
          <w:tcPr>
            <w:tcW w:w="874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0288" behindDoc="0" locked="0" layoutInCell="1" allowOverlap="1">
                  <wp:simplePos x="0" y="0"/>
                  <wp:positionH relativeFrom="column">
                    <wp:posOffset>53340</wp:posOffset>
                  </wp:positionH>
                  <wp:positionV relativeFrom="paragraph">
                    <wp:posOffset>60960</wp:posOffset>
                  </wp:positionV>
                  <wp:extent cx="1439545" cy="957580"/>
                  <wp:effectExtent l="0" t="0" r="8255" b="1397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6"/>
                          <a:stretch>
                            <a:fillRect/>
                          </a:stretch>
                        </pic:blipFill>
                        <pic:spPr>
                          <a:xfrm>
                            <a:off x="0" y="0"/>
                            <a:ext cx="1439545" cy="9575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1630680</wp:posOffset>
                  </wp:positionH>
                  <wp:positionV relativeFrom="paragraph">
                    <wp:posOffset>53340</wp:posOffset>
                  </wp:positionV>
                  <wp:extent cx="1439545" cy="957580"/>
                  <wp:effectExtent l="0" t="0" r="8255" b="1397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7"/>
                          <a:stretch>
                            <a:fillRect/>
                          </a:stretch>
                        </pic:blipFill>
                        <pic:spPr>
                          <a:xfrm>
                            <a:off x="0" y="0"/>
                            <a:ext cx="1439545" cy="957580"/>
                          </a:xfrm>
                          <a:prstGeom prst="rect">
                            <a:avLst/>
                          </a:prstGeom>
                          <a:noFill/>
                          <a:ln>
                            <a:noFill/>
                          </a:ln>
                        </pic:spPr>
                      </pic:pic>
                    </a:graphicData>
                  </a:graphic>
                </wp:anchor>
              </w:drawing>
            </w:r>
            <w:r>
              <w:rPr>
                <w:rFonts w:hint="eastAsia" w:ascii="微软雅黑" w:hAnsi="微软雅黑" w:eastAsia="微软雅黑" w:cs="微软雅黑"/>
                <w:i w:val="0"/>
                <w:color w:val="000000"/>
                <w:kern w:val="0"/>
                <w:sz w:val="18"/>
                <w:szCs w:val="18"/>
                <w:u w:val="none"/>
                <w:bdr w:val="single" w:color="000000" w:sz="4" w:space="0"/>
                <w:shd w:val="clear" w:color="auto" w:fill="FFFFFF"/>
                <w:lang w:val="en-US" w:eastAsia="zh-CN" w:bidi="ar"/>
              </w:rPr>
              <w:drawing>
                <wp:anchor distT="0" distB="0" distL="114300" distR="114300" simplePos="0" relativeHeight="251662336" behindDoc="0" locked="0" layoutInCell="1" allowOverlap="1">
                  <wp:simplePos x="0" y="0"/>
                  <wp:positionH relativeFrom="column">
                    <wp:posOffset>3230880</wp:posOffset>
                  </wp:positionH>
                  <wp:positionV relativeFrom="paragraph">
                    <wp:posOffset>45720</wp:posOffset>
                  </wp:positionV>
                  <wp:extent cx="1439545" cy="957580"/>
                  <wp:effectExtent l="0" t="0" r="8255" b="1397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439545" cy="957580"/>
                          </a:xfrm>
                          <a:prstGeom prst="rect">
                            <a:avLst/>
                          </a:prstGeom>
                          <a:noFill/>
                          <a:ln>
                            <a:noFill/>
                          </a:ln>
                        </pic:spPr>
                      </pic:pic>
                    </a:graphicData>
                  </a:graphic>
                </wp:anchor>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B3B65"/>
    <w:rsid w:val="522B3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Hyperlink"/>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2020-07-17T02:24:00Z</dcterms:created>
  <dc:creator>袁洁雯Angela</dc:creator>
  <cp:lastModifiedBy>袁洁雯Angela</cp:lastModifiedBy>
  <dcterms:modified xsi:type="dcterms:W3CDTF">2020-07-17T02:25:05Z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